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opLinePunct/>
        <w:spacing w:before="0" w:beforeAutospacing="0" w:after="0" w:afterAutospacing="0" w:line="500" w:lineRule="exact"/>
        <w:rPr>
          <w:rFonts w:hint="eastAsia"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rPr>
        <w:t>附件二</w:t>
      </w:r>
      <w:r>
        <w:rPr>
          <w:rFonts w:hint="eastAsia" w:ascii="方正仿宋_GBK" w:hAnsi="方正仿宋_GBK" w:eastAsia="方正仿宋_GBK" w:cs="方正仿宋_GBK"/>
          <w:b/>
          <w:sz w:val="30"/>
          <w:szCs w:val="30"/>
          <w:lang w:val="en-US" w:eastAsia="zh-CN"/>
        </w:rPr>
        <w:t>:</w:t>
      </w:r>
      <w:bookmarkStart w:id="2" w:name="_GoBack"/>
      <w:bookmarkEnd w:id="2"/>
    </w:p>
    <w:p>
      <w:pPr>
        <w:snapToGrid w:val="0"/>
        <w:spacing w:line="400" w:lineRule="atLeast"/>
        <w:rPr>
          <w:rFonts w:hAnsi="宋体"/>
          <w:b/>
        </w:rPr>
      </w:pPr>
      <w:r>
        <w:rPr>
          <w:rFonts w:hint="eastAsia" w:hAnsi="宋体"/>
          <w:b/>
          <w:bCs/>
          <w:iCs/>
          <w:sz w:val="28"/>
        </w:rPr>
        <w:t>技术规范书</w:t>
      </w:r>
    </w:p>
    <w:p>
      <w:pPr>
        <w:snapToGrid w:val="0"/>
        <w:spacing w:line="360" w:lineRule="auto"/>
        <w:rPr>
          <w:rFonts w:hAnsi="宋体"/>
          <w:bCs/>
        </w:rPr>
      </w:pPr>
      <w:bookmarkStart w:id="0" w:name="_Toc222120656"/>
      <w:r>
        <w:rPr>
          <w:rFonts w:hAnsi="宋体"/>
          <w:b/>
        </w:rPr>
        <w:t xml:space="preserve">1 </w:t>
      </w:r>
      <w:r>
        <w:rPr>
          <w:rFonts w:hint="eastAsia" w:hAnsi="宋体"/>
          <w:b/>
        </w:rPr>
        <w:t>总则</w:t>
      </w:r>
      <w:bookmarkEnd w:id="0"/>
    </w:p>
    <w:p>
      <w:pPr>
        <w:widowControl/>
        <w:autoSpaceDE w:val="0"/>
        <w:autoSpaceDN w:val="0"/>
        <w:spacing w:line="360" w:lineRule="auto"/>
        <w:textAlignment w:val="bottom"/>
        <w:rPr>
          <w:rFonts w:hAnsi="宋体"/>
          <w:bCs/>
        </w:rPr>
      </w:pPr>
      <w:r>
        <w:rPr>
          <w:rFonts w:hint="eastAsia" w:hAnsi="宋体"/>
          <w:bCs/>
        </w:rPr>
        <w:t>1.1 本技术规范书适用于</w:t>
      </w:r>
      <w:r>
        <w:rPr>
          <w:rFonts w:hint="eastAsia" w:hAnsi="宋体"/>
          <w:b/>
          <w:szCs w:val="22"/>
        </w:rPr>
        <w:t>扬州供热有限公司</w:t>
      </w:r>
      <w:r>
        <w:rPr>
          <w:rFonts w:hint="eastAsia" w:hAnsi="宋体"/>
          <w:bCs/>
        </w:rPr>
        <w:t>的直埋预制钢管制造（</w:t>
      </w:r>
      <w:r>
        <w:rPr>
          <w:rFonts w:hint="eastAsia" w:hAnsi="宋体"/>
          <w:b/>
          <w:bCs/>
        </w:rPr>
        <w:t>包括直埋预制钢管的中的芯管与外套管的管材和管件、零星钢板的采购、直埋预制钢管外套管的防腐（含补口段）、直埋预制钢管中的管托，直埋预制钢管内的保温及保温施工（含补口段保温施工所需辅材）、埋地管道的排潮管及埋地管道疏水管的引出管、埋地管道的防雨帽制作等等</w:t>
      </w:r>
      <w:r>
        <w:rPr>
          <w:rFonts w:hint="eastAsia" w:hAnsi="宋体"/>
          <w:bCs/>
        </w:rPr>
        <w:t>）。它包括设计、加工、配制、焊接、热处理和检验等方面的技术要求。</w:t>
      </w:r>
      <w:r>
        <w:rPr>
          <w:rFonts w:hint="eastAsia" w:hAnsi="宋体"/>
        </w:rPr>
        <w:t>它提出了该设备的功能设计、制造、结构、安装和试验等方面最基本的技术要求</w:t>
      </w:r>
      <w:r>
        <w:rPr>
          <w:rFonts w:hint="eastAsia" w:hAnsi="宋体"/>
          <w:bCs/>
        </w:rPr>
        <w:t>。</w:t>
      </w:r>
    </w:p>
    <w:p>
      <w:pPr>
        <w:widowControl/>
        <w:autoSpaceDE w:val="0"/>
        <w:autoSpaceDN w:val="0"/>
        <w:spacing w:line="360" w:lineRule="auto"/>
        <w:textAlignment w:val="bottom"/>
        <w:rPr>
          <w:rFonts w:hAnsi="宋体"/>
          <w:bCs/>
        </w:rPr>
      </w:pPr>
      <w:r>
        <w:rPr>
          <w:rFonts w:hint="eastAsia" w:hAnsi="宋体"/>
          <w:bCs/>
        </w:rPr>
        <w:t>1.2 本规范书提出的是最低限度的技术要求，并未对一切技术要求作出详细规定，也未充分引述有关标准和规范的条文，卖方应保证提供符合本规范书和相关的国际国内工业标准的优质产品。</w:t>
      </w:r>
    </w:p>
    <w:p>
      <w:pPr>
        <w:widowControl/>
        <w:autoSpaceDE w:val="0"/>
        <w:autoSpaceDN w:val="0"/>
        <w:spacing w:line="360" w:lineRule="auto"/>
        <w:textAlignment w:val="bottom"/>
        <w:rPr>
          <w:rFonts w:hAnsi="宋体"/>
          <w:bCs/>
        </w:rPr>
      </w:pPr>
      <w:r>
        <w:rPr>
          <w:rFonts w:hint="eastAsia" w:hAnsi="宋体"/>
          <w:bCs/>
        </w:rPr>
        <w:t>1.3 如卖方有除本规范以外的其他要求，应以书面形式提出，经买卖双方讨论后载于本规范书。</w:t>
      </w:r>
    </w:p>
    <w:p>
      <w:pPr>
        <w:widowControl/>
        <w:autoSpaceDE w:val="0"/>
        <w:autoSpaceDN w:val="0"/>
        <w:spacing w:line="360" w:lineRule="auto"/>
        <w:textAlignment w:val="bottom"/>
        <w:rPr>
          <w:rFonts w:hAnsi="宋体" w:cs="Arial"/>
        </w:rPr>
      </w:pPr>
      <w:r>
        <w:rPr>
          <w:rFonts w:hAnsi="宋体" w:cs="Arial"/>
        </w:rPr>
        <w:t>1.4</w:t>
      </w:r>
      <w:r>
        <w:rPr>
          <w:rFonts w:hint="eastAsia" w:hAnsi="宋体" w:cs="Arial"/>
        </w:rPr>
        <w:t xml:space="preserve"> </w:t>
      </w:r>
      <w:r>
        <w:rPr>
          <w:rFonts w:hint="eastAsia" w:hAnsi="宋体"/>
          <w:color w:val="000000"/>
        </w:rPr>
        <w:t>卖方应对直埋预制钢管负有全责，</w:t>
      </w:r>
      <w:r>
        <w:rPr>
          <w:rFonts w:hint="eastAsia" w:hAnsi="宋体"/>
        </w:rPr>
        <w:t>所有内部管件都是投标方提供，但关键部件安装前需得到招标方确认。</w:t>
      </w:r>
    </w:p>
    <w:p>
      <w:pPr>
        <w:widowControl/>
        <w:autoSpaceDE w:val="0"/>
        <w:autoSpaceDN w:val="0"/>
        <w:spacing w:line="360" w:lineRule="auto"/>
        <w:textAlignment w:val="bottom"/>
        <w:rPr>
          <w:rFonts w:hAnsi="宋体"/>
          <w:bCs/>
        </w:rPr>
      </w:pPr>
      <w:r>
        <w:rPr>
          <w:rFonts w:hint="eastAsia" w:hAnsi="宋体"/>
          <w:bCs/>
        </w:rPr>
        <w:t>1.5 本规范书所使用的标准若与卖方执行的标准发生矛盾时，按较严格的标准执行。</w:t>
      </w:r>
    </w:p>
    <w:p>
      <w:pPr>
        <w:widowControl/>
        <w:autoSpaceDE w:val="0"/>
        <w:autoSpaceDN w:val="0"/>
        <w:spacing w:line="360" w:lineRule="auto"/>
        <w:textAlignment w:val="bottom"/>
        <w:rPr>
          <w:rFonts w:hAnsi="宋体"/>
          <w:bCs/>
        </w:rPr>
      </w:pPr>
      <w:r>
        <w:rPr>
          <w:rFonts w:hint="eastAsia" w:hAnsi="宋体"/>
          <w:bCs/>
        </w:rPr>
        <w:t>1.6 如卖方没有对本规范书提出书面异议，买方则可认为卖方提供的产品完全满足本规范书的要求。卖方如对本招标文件有偏差（无论多少或微小）都必须清楚地表示在本规范书的附件“差异表”中。</w:t>
      </w:r>
    </w:p>
    <w:p>
      <w:pPr>
        <w:widowControl/>
        <w:autoSpaceDE w:val="0"/>
        <w:autoSpaceDN w:val="0"/>
        <w:spacing w:line="360" w:lineRule="auto"/>
        <w:textAlignment w:val="bottom"/>
        <w:rPr>
          <w:rFonts w:hAnsi="宋体"/>
          <w:bCs/>
        </w:rPr>
      </w:pPr>
      <w:r>
        <w:rPr>
          <w:rFonts w:hint="eastAsia" w:hAnsi="宋体"/>
          <w:bCs/>
        </w:rPr>
        <w:t>1.7 本规范书经买卖双方共同确认和签字后作为订货合同的附件，与订货合同正文具有同等效力。未尽事宜由双方协商解决。</w:t>
      </w:r>
    </w:p>
    <w:p>
      <w:pPr>
        <w:widowControl/>
        <w:autoSpaceDE w:val="0"/>
        <w:autoSpaceDN w:val="0"/>
        <w:spacing w:line="360" w:lineRule="auto"/>
        <w:textAlignment w:val="bottom"/>
        <w:rPr>
          <w:rFonts w:hAnsi="宋体"/>
          <w:bCs/>
        </w:rPr>
      </w:pPr>
      <w:r>
        <w:rPr>
          <w:rFonts w:hint="eastAsia" w:hAnsi="宋体"/>
          <w:bCs/>
        </w:rPr>
        <w:t>1.8 在合同签订后，买方有权因规范、标准、规程发生变化而提出一些补充要求，具体内容双方共同商定。</w:t>
      </w:r>
    </w:p>
    <w:p>
      <w:pPr>
        <w:widowControl/>
        <w:autoSpaceDE w:val="0"/>
        <w:autoSpaceDN w:val="0"/>
        <w:spacing w:line="360" w:lineRule="auto"/>
        <w:textAlignment w:val="bottom"/>
        <w:rPr>
          <w:rFonts w:hAnsi="宋体" w:cs="Arial"/>
          <w:bCs/>
        </w:rPr>
      </w:pPr>
    </w:p>
    <w:p>
      <w:pPr>
        <w:widowControl/>
        <w:autoSpaceDE w:val="0"/>
        <w:autoSpaceDN w:val="0"/>
        <w:spacing w:line="360" w:lineRule="auto"/>
        <w:textAlignment w:val="bottom"/>
        <w:rPr>
          <w:rFonts w:hAnsi="宋体" w:cs="Arial"/>
        </w:rPr>
      </w:pPr>
      <w:bookmarkStart w:id="1" w:name="_Toc513179282"/>
      <w:r>
        <w:rPr>
          <w:rFonts w:hint="eastAsia" w:hAnsi="宋体" w:cs="Arial"/>
          <w:b/>
          <w:bCs/>
        </w:rPr>
        <w:t>2</w:t>
      </w:r>
      <w:r>
        <w:rPr>
          <w:rFonts w:hAnsi="宋体" w:cs="Arial"/>
          <w:b/>
          <w:bCs/>
        </w:rPr>
        <w:t xml:space="preserve"> </w:t>
      </w:r>
      <w:r>
        <w:rPr>
          <w:rFonts w:hint="eastAsia" w:hAnsi="宋体" w:cs="Arial"/>
          <w:b/>
          <w:bCs/>
        </w:rPr>
        <w:t>工程概况</w:t>
      </w:r>
      <w:bookmarkEnd w:id="1"/>
    </w:p>
    <w:p>
      <w:pPr>
        <w:spacing w:line="360" w:lineRule="auto"/>
        <w:rPr>
          <w:rFonts w:hAnsi="宋体" w:cs="Arial"/>
        </w:rPr>
      </w:pPr>
      <w:r>
        <w:rPr>
          <w:rFonts w:hAnsi="宋体" w:cs="Arial"/>
        </w:rPr>
        <w:t>2.1</w:t>
      </w:r>
      <w:r>
        <w:rPr>
          <w:rFonts w:hint="eastAsia" w:hAnsi="宋体" w:cs="Arial"/>
        </w:rPr>
        <w:t>本次设备招标范围：</w:t>
      </w:r>
    </w:p>
    <w:p>
      <w:pPr>
        <w:spacing w:line="360" w:lineRule="auto"/>
        <w:ind w:firstLine="420" w:firstLineChars="200"/>
        <w:rPr>
          <w:rFonts w:hAnsi="宋体"/>
        </w:rPr>
      </w:pPr>
      <w:r>
        <w:rPr>
          <w:rFonts w:hint="eastAsia" w:hAnsi="宋体" w:cs="Arial"/>
        </w:rPr>
        <w:t>扬州供热有限公司热网工程</w:t>
      </w:r>
      <w:r>
        <w:rPr>
          <w:rFonts w:hint="eastAsia" w:hAnsi="宋体"/>
        </w:rPr>
        <w:t>中包含的所有埋地管道的直埋预制钢管的制</w:t>
      </w:r>
      <w:r>
        <w:rPr>
          <w:rFonts w:hint="eastAsia" w:hAnsi="宋体"/>
          <w:bCs/>
        </w:rPr>
        <w:t>造（</w:t>
      </w:r>
      <w:r>
        <w:rPr>
          <w:rFonts w:hint="eastAsia" w:hAnsi="宋体"/>
          <w:b/>
          <w:bCs/>
        </w:rPr>
        <w:t>包括直埋预制钢管的中的芯管与外套管的管材和管件、零星钢板的采购、直埋预制钢管外套管的防腐（含补口段）、直埋预制钢管中的管托，直埋预制钢管内的保温及保温施工（含补口段保温施工所需辅材）、埋地管道的排潮管及埋地管道疏水管的引出管、埋地管道的防雨帽制作等等</w:t>
      </w:r>
      <w:r>
        <w:rPr>
          <w:rFonts w:hint="eastAsia" w:hAnsi="宋体"/>
          <w:bCs/>
        </w:rPr>
        <w:t>）</w:t>
      </w:r>
      <w:r>
        <w:rPr>
          <w:rFonts w:hint="eastAsia" w:hAnsi="宋体"/>
        </w:rPr>
        <w:t>。</w:t>
      </w:r>
    </w:p>
    <w:p>
      <w:pPr>
        <w:spacing w:line="360" w:lineRule="auto"/>
        <w:rPr>
          <w:rFonts w:hAnsi="宋体" w:cs="宋体"/>
        </w:rPr>
      </w:pPr>
      <w:r>
        <w:rPr>
          <w:rFonts w:hint="eastAsia" w:hAnsi="宋体" w:cs="宋体"/>
        </w:rPr>
        <w:t>2.2 气象条件</w:t>
      </w:r>
    </w:p>
    <w:p>
      <w:pPr>
        <w:pStyle w:val="6"/>
        <w:ind w:right="-91" w:firstLine="480" w:firstLineChars="200"/>
        <w:jc w:val="left"/>
        <w:rPr>
          <w:rFonts w:hAnsi="宋体" w:cs="宋体"/>
          <w:szCs w:val="24"/>
        </w:rPr>
      </w:pPr>
      <w:r>
        <w:rPr>
          <w:rFonts w:hint="eastAsia" w:hAnsi="宋体" w:cs="宋体"/>
          <w:szCs w:val="24"/>
        </w:rPr>
        <w:t xml:space="preserve">极端最高温度                                39.7 ℃ </w:t>
      </w:r>
    </w:p>
    <w:p>
      <w:pPr>
        <w:pStyle w:val="6"/>
        <w:ind w:right="-91"/>
        <w:jc w:val="left"/>
        <w:rPr>
          <w:rFonts w:hAnsi="宋体" w:cs="宋体"/>
          <w:szCs w:val="24"/>
        </w:rPr>
      </w:pPr>
      <w:r>
        <w:rPr>
          <w:rFonts w:hint="eastAsia" w:hAnsi="宋体" w:cs="宋体"/>
          <w:szCs w:val="24"/>
        </w:rPr>
        <w:t xml:space="preserve">    极端最低温度                                -11.5 ℃ </w:t>
      </w:r>
    </w:p>
    <w:p>
      <w:pPr>
        <w:pStyle w:val="6"/>
        <w:ind w:right="-91"/>
        <w:jc w:val="left"/>
        <w:rPr>
          <w:rFonts w:hAnsi="宋体" w:cs="宋体"/>
          <w:szCs w:val="24"/>
        </w:rPr>
      </w:pPr>
      <w:r>
        <w:rPr>
          <w:rFonts w:hint="eastAsia" w:hAnsi="宋体" w:cs="宋体"/>
          <w:szCs w:val="24"/>
        </w:rPr>
        <w:t xml:space="preserve">    年平均温度                                  14.8℃ </w:t>
      </w:r>
    </w:p>
    <w:p>
      <w:pPr>
        <w:pStyle w:val="6"/>
        <w:ind w:right="-91"/>
        <w:jc w:val="left"/>
        <w:rPr>
          <w:rFonts w:hAnsi="宋体" w:cs="宋体"/>
          <w:szCs w:val="24"/>
        </w:rPr>
      </w:pPr>
      <w:r>
        <w:rPr>
          <w:rFonts w:hint="eastAsia" w:hAnsi="宋体" w:cs="宋体"/>
          <w:szCs w:val="24"/>
        </w:rPr>
        <w:t xml:space="preserve">    最热月（7月）平均温度                       27.5 ℃ </w:t>
      </w:r>
    </w:p>
    <w:p>
      <w:pPr>
        <w:pStyle w:val="6"/>
        <w:ind w:right="-91"/>
        <w:jc w:val="left"/>
        <w:rPr>
          <w:rFonts w:hAnsi="宋体" w:cs="宋体"/>
          <w:szCs w:val="24"/>
        </w:rPr>
      </w:pPr>
      <w:r>
        <w:rPr>
          <w:rFonts w:hint="eastAsia" w:hAnsi="宋体" w:cs="宋体"/>
          <w:szCs w:val="24"/>
        </w:rPr>
        <w:t xml:space="preserve">    最冷月（1月）平均温度                       1.8℃ </w:t>
      </w:r>
    </w:p>
    <w:p>
      <w:pPr>
        <w:pStyle w:val="6"/>
        <w:ind w:right="-91"/>
        <w:jc w:val="left"/>
        <w:rPr>
          <w:rFonts w:hAnsi="宋体" w:cs="宋体"/>
          <w:szCs w:val="24"/>
        </w:rPr>
      </w:pPr>
      <w:r>
        <w:rPr>
          <w:rFonts w:hint="eastAsia" w:hAnsi="宋体" w:cs="宋体"/>
          <w:szCs w:val="24"/>
        </w:rPr>
        <w:t xml:space="preserve">    采暖室外计算温度                            -5 ℃ </w:t>
      </w:r>
    </w:p>
    <w:p>
      <w:pPr>
        <w:pStyle w:val="6"/>
        <w:ind w:right="-91"/>
        <w:jc w:val="left"/>
        <w:rPr>
          <w:rFonts w:hAnsi="宋体" w:cs="宋体"/>
          <w:szCs w:val="24"/>
        </w:rPr>
      </w:pPr>
      <w:r>
        <w:rPr>
          <w:rFonts w:hint="eastAsia" w:hAnsi="宋体" w:cs="宋体"/>
          <w:szCs w:val="24"/>
        </w:rPr>
        <w:t xml:space="preserve">    采暖期室外平均温度                          1.4 ℃ </w:t>
      </w:r>
    </w:p>
    <w:p>
      <w:pPr>
        <w:pStyle w:val="6"/>
        <w:ind w:right="-91"/>
        <w:jc w:val="left"/>
        <w:rPr>
          <w:rFonts w:hAnsi="宋体" w:cs="宋体"/>
          <w:szCs w:val="24"/>
        </w:rPr>
      </w:pPr>
      <w:r>
        <w:rPr>
          <w:rFonts w:hint="eastAsia" w:hAnsi="宋体" w:cs="宋体"/>
          <w:szCs w:val="24"/>
        </w:rPr>
        <w:t xml:space="preserve">    年平均大气压力                              101.5 kPa </w:t>
      </w:r>
    </w:p>
    <w:p>
      <w:pPr>
        <w:pStyle w:val="6"/>
        <w:ind w:right="-91"/>
        <w:jc w:val="left"/>
        <w:rPr>
          <w:rFonts w:hAnsi="宋体" w:cs="宋体"/>
          <w:szCs w:val="24"/>
        </w:rPr>
      </w:pPr>
      <w:r>
        <w:rPr>
          <w:rFonts w:hint="eastAsia" w:hAnsi="宋体" w:cs="宋体"/>
          <w:szCs w:val="24"/>
        </w:rPr>
        <w:t xml:space="preserve">    冬季室外平均风速                            3.3 m/s </w:t>
      </w:r>
    </w:p>
    <w:p>
      <w:pPr>
        <w:pStyle w:val="6"/>
        <w:ind w:right="-91"/>
        <w:jc w:val="left"/>
        <w:rPr>
          <w:rFonts w:hAnsi="宋体" w:cs="宋体"/>
          <w:szCs w:val="24"/>
        </w:rPr>
      </w:pPr>
      <w:r>
        <w:rPr>
          <w:rFonts w:hint="eastAsia" w:hAnsi="宋体" w:cs="宋体"/>
          <w:szCs w:val="24"/>
        </w:rPr>
        <w:t xml:space="preserve">    夏季室外平均风速                            3.1 m/s </w:t>
      </w:r>
    </w:p>
    <w:p>
      <w:pPr>
        <w:pStyle w:val="6"/>
        <w:tabs>
          <w:tab w:val="left" w:pos="420"/>
          <w:tab w:val="left" w:pos="8295"/>
        </w:tabs>
        <w:ind w:right="-88"/>
        <w:rPr>
          <w:rFonts w:hAnsi="宋体" w:cs="宋体"/>
          <w:szCs w:val="24"/>
        </w:rPr>
      </w:pPr>
      <w:r>
        <w:rPr>
          <w:rFonts w:hint="eastAsia" w:hAnsi="宋体" w:cs="宋体"/>
          <w:szCs w:val="24"/>
        </w:rPr>
        <w:t xml:space="preserve">    年平均降雨量                                1020 mm </w:t>
      </w:r>
    </w:p>
    <w:p>
      <w:pPr>
        <w:pStyle w:val="6"/>
        <w:tabs>
          <w:tab w:val="left" w:pos="420"/>
          <w:tab w:val="left" w:pos="8295"/>
        </w:tabs>
        <w:ind w:right="-88" w:firstLine="480" w:firstLineChars="200"/>
        <w:rPr>
          <w:rFonts w:hAnsi="宋体" w:cs="宋体"/>
          <w:szCs w:val="24"/>
        </w:rPr>
      </w:pPr>
    </w:p>
    <w:p>
      <w:pPr>
        <w:spacing w:line="360" w:lineRule="auto"/>
        <w:ind w:firstLine="422" w:firstLineChars="200"/>
        <w:rPr>
          <w:rFonts w:hAnsi="宋体"/>
          <w:b/>
        </w:rPr>
      </w:pPr>
    </w:p>
    <w:p>
      <w:pPr>
        <w:spacing w:line="360" w:lineRule="auto"/>
        <w:rPr>
          <w:rFonts w:hAnsi="宋体"/>
          <w:b/>
        </w:rPr>
      </w:pPr>
      <w:r>
        <w:rPr>
          <w:rFonts w:hint="eastAsia" w:hAnsi="宋体"/>
          <w:b/>
        </w:rPr>
        <w:t>4.</w:t>
      </w:r>
      <w:r>
        <w:rPr>
          <w:rFonts w:hAnsi="宋体"/>
          <w:b/>
        </w:rPr>
        <w:t xml:space="preserve"> 技术要求</w:t>
      </w:r>
      <w:r>
        <w:rPr>
          <w:rFonts w:hint="eastAsia" w:hAnsi="宋体"/>
          <w:b/>
        </w:rPr>
        <w:t>和性能要求（包括以下内容但不仅限于此）</w:t>
      </w:r>
    </w:p>
    <w:p>
      <w:pPr>
        <w:spacing w:line="360" w:lineRule="auto"/>
        <w:ind w:firstLine="480"/>
        <w:rPr>
          <w:rFonts w:hAnsi="宋体"/>
          <w:bCs/>
        </w:rPr>
      </w:pPr>
      <w:r>
        <w:rPr>
          <w:rFonts w:hint="eastAsia" w:hAnsi="宋体"/>
          <w:bCs/>
        </w:rPr>
        <w:t>直埋预制钢管包括埋地的管材和管件、埋地管托、埋地管道的保温、反射层、埋地管道疏水管的引出管及直埋预制钢管现场连接补口段防腐、保温。详细技术要求如下：</w:t>
      </w:r>
    </w:p>
    <w:p>
      <w:pPr>
        <w:spacing w:line="430" w:lineRule="exact"/>
        <w:ind w:firstLine="480"/>
        <w:rPr>
          <w:rFonts w:ascii="宋体" w:hAnsi="宋体" w:cs="Arial"/>
          <w:b/>
          <w:color w:val="FF0000"/>
          <w:kern w:val="0"/>
          <w:sz w:val="24"/>
        </w:rPr>
      </w:pPr>
      <w:r>
        <w:rPr>
          <w:rFonts w:hint="eastAsia" w:hAnsi="宋体"/>
          <w:szCs w:val="22"/>
        </w:rPr>
        <w:t>本设计热网工程DN400、DN800地埋蒸汽管道芯管均采用20双面螺旋缝焊接钢管（材质20，制造标准GB/T9711－2017）；DN300地埋蒸汽管道芯管均采用20优质无缝钢管（GB/T8163-2018）；</w:t>
      </w:r>
      <w:r>
        <w:rPr>
          <w:rFonts w:hint="eastAsia"/>
        </w:rPr>
        <w:t>埋地外套管采用Q235B螺旋缝钢管（制造标准SY/T5037-2018,检验标准</w:t>
      </w:r>
      <w:r>
        <w:rPr>
          <w:rFonts w:hint="eastAsia" w:hAnsi="宋体"/>
        </w:rPr>
        <w:t>GB/T9711－2017</w:t>
      </w:r>
      <w:r>
        <w:rPr>
          <w:rFonts w:hint="eastAsia"/>
        </w:rPr>
        <w:t>）；</w:t>
      </w:r>
      <w:r>
        <w:rPr>
          <w:rFonts w:hint="eastAsia" w:hAnsi="宋体"/>
          <w:szCs w:val="22"/>
        </w:rPr>
        <w:t>疏放水管道采用20优质无缝钢管（GB/T8163-2018）</w:t>
      </w:r>
      <w:r>
        <w:rPr>
          <w:rFonts w:hint="eastAsia" w:hAnsi="宋体" w:cs="Arial"/>
        </w:rPr>
        <w:t>。</w:t>
      </w:r>
      <w:r>
        <w:rPr>
          <w:rFonts w:hint="eastAsia" w:ascii="宋体" w:hAnsi="宋体"/>
          <w:b/>
          <w:color w:val="FF0000"/>
          <w:szCs w:val="21"/>
        </w:rPr>
        <w:t>螺旋焊管需采用扬州通宇、浙江金洲、无锡玉龙或与三家同等质量的产品，无缝管需采用天津大无缝、宝钢集团、包钢集团或与三家同等质量的产品。</w:t>
      </w:r>
      <w:r>
        <w:rPr>
          <w:rFonts w:hint="eastAsia" w:ascii="宋体" w:hAnsi="宋体" w:cs="Arial"/>
          <w:b/>
          <w:color w:val="FF0000"/>
          <w:kern w:val="0"/>
          <w:szCs w:val="21"/>
        </w:rPr>
        <w:t>如证明材料无法证明所采用品牌为同等档次的品牌，为确保产品的质量及运营稳定性，业主有权要求中标人按参考品牌供货，中标人需无条件响应。</w:t>
      </w:r>
    </w:p>
    <w:p>
      <w:pPr>
        <w:spacing w:line="360" w:lineRule="auto"/>
        <w:ind w:firstLine="480"/>
        <w:rPr>
          <w:rFonts w:hAnsi="宋体" w:cs="Arial"/>
          <w:b/>
        </w:rPr>
      </w:pPr>
    </w:p>
    <w:p>
      <w:pPr>
        <w:spacing w:line="360" w:lineRule="auto"/>
        <w:ind w:firstLine="480"/>
        <w:rPr>
          <w:rFonts w:hAnsi="宋体" w:cs="Arial"/>
        </w:rPr>
      </w:pPr>
      <w:r>
        <w:rPr>
          <w:rFonts w:hint="eastAsia" w:hAnsi="宋体" w:cs="Arial"/>
        </w:rPr>
        <w:t>埋地管件</w:t>
      </w:r>
      <w:r>
        <w:rPr>
          <w:rFonts w:hint="eastAsia"/>
        </w:rPr>
        <w:t>采用20无缝管件（</w:t>
      </w:r>
      <w:r>
        <w:rPr>
          <w:rFonts w:hint="eastAsia" w:hAnsi="宋体"/>
        </w:rPr>
        <w:t>GB/T12459-2017、GB/T13401-2017</w:t>
      </w:r>
      <w:r>
        <w:rPr>
          <w:rFonts w:hint="eastAsia"/>
        </w:rPr>
        <w:t>）</w:t>
      </w:r>
      <w:r>
        <w:rPr>
          <w:rFonts w:hint="eastAsia" w:hAnsi="宋体" w:cs="Arial"/>
        </w:rPr>
        <w:t>。本设计管道弯头均选用R＝1.5DN无缝热压弯头。</w:t>
      </w:r>
    </w:p>
    <w:p>
      <w:pPr>
        <w:spacing w:line="360" w:lineRule="auto"/>
        <w:ind w:firstLine="480"/>
        <w:rPr>
          <w:rFonts w:hAnsi="宋体"/>
          <w:bCs/>
        </w:rPr>
      </w:pPr>
      <w:r>
        <w:rPr>
          <w:rFonts w:hint="eastAsia" w:hAnsi="宋体"/>
          <w:bCs/>
        </w:rPr>
        <w:t>工厂配制必须按照以下标准和规范中有关条文的要求设计制作。</w:t>
      </w:r>
    </w:p>
    <w:p>
      <w:pPr>
        <w:spacing w:line="360" w:lineRule="auto"/>
        <w:ind w:firstLine="480"/>
        <w:rPr>
          <w:rFonts w:ascii="Arial" w:hAnsi="Arial" w:cs="Arial"/>
          <w:b/>
          <w:color w:val="FF0000"/>
        </w:rPr>
      </w:pPr>
      <w:r>
        <w:rPr>
          <w:rFonts w:hint="eastAsia" w:ascii="Arial" w:hAnsi="Arial" w:cs="Arial"/>
          <w:b/>
          <w:color w:val="FF0000"/>
        </w:rPr>
        <w:t>埋地管件采用20无缝管件（GB/T12459－2017）。本设计管道弯头均选用R＝1.5DN无缝热压弯头，本设计管道的管件订货时，壁厚必须保持正公差，其壁厚必须大于管道壁厚1mm。</w:t>
      </w:r>
    </w:p>
    <w:p>
      <w:pPr>
        <w:spacing w:line="430" w:lineRule="exact"/>
        <w:ind w:firstLine="480"/>
        <w:rPr>
          <w:rFonts w:ascii="宋体" w:hAnsi="宋体" w:cs="Arial"/>
          <w:b/>
          <w:color w:val="FF0000"/>
          <w:kern w:val="0"/>
          <w:sz w:val="24"/>
        </w:rPr>
      </w:pPr>
      <w:r>
        <w:rPr>
          <w:rFonts w:hint="eastAsia" w:ascii="宋体" w:hAnsi="宋体"/>
          <w:b/>
          <w:color w:val="FF0000"/>
          <w:szCs w:val="21"/>
        </w:rPr>
        <w:t>无缝管件需采用江苏兴洋管业、常州武进电力管件、江阴龙腾管件或与三家同等质量的产品。</w:t>
      </w:r>
      <w:r>
        <w:rPr>
          <w:rFonts w:hint="eastAsia" w:ascii="宋体" w:hAnsi="宋体" w:cs="Arial"/>
          <w:b/>
          <w:color w:val="FF0000"/>
          <w:kern w:val="0"/>
          <w:szCs w:val="21"/>
        </w:rPr>
        <w:t>如证明材料无法证明所采用品牌为同等档次的品牌，为确保产品的质量及运营稳定性，业主有权要求中标人按参考品牌供货，中标人需无条件响应。</w:t>
      </w:r>
    </w:p>
    <w:p>
      <w:pPr>
        <w:spacing w:line="360" w:lineRule="auto"/>
        <w:ind w:firstLine="480"/>
        <w:rPr>
          <w:rFonts w:ascii="Arial" w:hAnsi="Arial" w:cs="Arial"/>
          <w:b/>
          <w:color w:val="FF0000"/>
        </w:rPr>
      </w:pPr>
    </w:p>
    <w:p>
      <w:pPr>
        <w:spacing w:line="360" w:lineRule="auto"/>
        <w:ind w:firstLine="480"/>
        <w:rPr>
          <w:rFonts w:ascii="Arial" w:hAnsi="Arial" w:cs="Arial"/>
          <w:b/>
          <w:color w:val="FF0000"/>
        </w:rPr>
      </w:pPr>
      <w:r>
        <w:rPr>
          <w:rFonts w:hint="eastAsia" w:ascii="Arial" w:hAnsi="Arial" w:cs="Arial"/>
          <w:b/>
          <w:color w:val="FF0000"/>
        </w:rPr>
        <w:t>地埋管芯管及外套管壁厚都必须正公差</w:t>
      </w:r>
    </w:p>
    <w:p>
      <w:pPr>
        <w:spacing w:line="360" w:lineRule="auto"/>
        <w:rPr>
          <w:rFonts w:hAnsi="宋体"/>
          <w:bCs/>
        </w:rPr>
      </w:pPr>
      <w:r>
        <w:rPr>
          <w:rFonts w:hint="eastAsia" w:hAnsi="宋体"/>
          <w:bCs/>
        </w:rPr>
        <w:t>4.1  国内部分:</w:t>
      </w:r>
      <w:r>
        <w:rPr>
          <w:rFonts w:hint="eastAsia" w:hAnsi="宋体"/>
          <w:bCs/>
          <w:szCs w:val="22"/>
        </w:rPr>
        <w:t>2</w:t>
      </w:r>
    </w:p>
    <w:p>
      <w:pPr>
        <w:spacing w:line="360" w:lineRule="auto"/>
        <w:ind w:firstLine="420" w:firstLineChars="200"/>
        <w:rPr>
          <w:rFonts w:hAnsi="宋体"/>
          <w:bCs/>
        </w:rPr>
      </w:pPr>
      <w:r>
        <w:rPr>
          <w:rFonts w:hint="eastAsia" w:hAnsi="宋体"/>
          <w:bCs/>
        </w:rPr>
        <w:t>(1) CJJ34-2010         城镇供热管网设计规范</w:t>
      </w:r>
    </w:p>
    <w:p>
      <w:pPr>
        <w:spacing w:line="360" w:lineRule="auto"/>
        <w:ind w:firstLine="420" w:firstLineChars="200"/>
        <w:rPr>
          <w:rFonts w:hAnsi="宋体"/>
          <w:bCs/>
        </w:rPr>
      </w:pPr>
      <w:r>
        <w:rPr>
          <w:rFonts w:hint="eastAsia" w:hAnsi="宋体"/>
          <w:bCs/>
        </w:rPr>
        <w:t xml:space="preserve">(2) CJJ/T104-2014      城镇供热直埋蒸汽管道技术规程      </w:t>
      </w:r>
    </w:p>
    <w:p>
      <w:pPr>
        <w:spacing w:line="360" w:lineRule="auto"/>
        <w:ind w:firstLine="420" w:firstLineChars="200"/>
        <w:rPr>
          <w:rFonts w:hAnsi="宋体"/>
          <w:bCs/>
        </w:rPr>
      </w:pPr>
      <w:r>
        <w:rPr>
          <w:rFonts w:hint="eastAsia" w:hAnsi="宋体"/>
          <w:bCs/>
          <w:szCs w:val="22"/>
        </w:rPr>
        <w:t>(3)CJ/T 246-2018       城镇供热预制直埋蒸汽保温管及管路附件</w:t>
      </w:r>
    </w:p>
    <w:p>
      <w:pPr>
        <w:spacing w:line="360" w:lineRule="auto"/>
        <w:ind w:firstLine="315" w:firstLineChars="150"/>
        <w:rPr>
          <w:rFonts w:hAnsi="宋体"/>
          <w:bCs/>
        </w:rPr>
      </w:pPr>
      <w:r>
        <w:rPr>
          <w:rFonts w:hint="eastAsia" w:hAnsi="宋体"/>
          <w:bCs/>
        </w:rPr>
        <w:t xml:space="preserve"> (4) GB 50235-2010      工业金属管道工程施工规范</w:t>
      </w:r>
    </w:p>
    <w:p>
      <w:pPr>
        <w:spacing w:line="360" w:lineRule="auto"/>
        <w:ind w:firstLine="420" w:firstLineChars="200"/>
        <w:rPr>
          <w:rFonts w:hAnsi="宋体"/>
          <w:bCs/>
        </w:rPr>
      </w:pPr>
      <w:r>
        <w:rPr>
          <w:rFonts w:hint="eastAsia" w:hAnsi="宋体"/>
          <w:bCs/>
        </w:rPr>
        <w:t>(5) GB 50236-2011      现场设备、工业管道焊接工程施工规范</w:t>
      </w:r>
    </w:p>
    <w:p>
      <w:pPr>
        <w:spacing w:line="360" w:lineRule="auto"/>
        <w:ind w:firstLine="420" w:firstLineChars="200"/>
        <w:rPr>
          <w:rFonts w:hAnsi="宋体"/>
          <w:bCs/>
        </w:rPr>
      </w:pPr>
      <w:r>
        <w:rPr>
          <w:rFonts w:hint="eastAsia" w:hAnsi="宋体"/>
          <w:bCs/>
        </w:rPr>
        <w:t>(6) CJJ28-2014         城镇供热管网工程施工及验收规范</w:t>
      </w:r>
    </w:p>
    <w:p>
      <w:pPr>
        <w:spacing w:line="360" w:lineRule="auto"/>
        <w:ind w:firstLine="420" w:firstLineChars="200"/>
        <w:rPr>
          <w:rFonts w:hAnsi="宋体"/>
          <w:bCs/>
        </w:rPr>
      </w:pPr>
      <w:r>
        <w:rPr>
          <w:rFonts w:hint="eastAsia" w:hAnsi="宋体"/>
          <w:bCs/>
        </w:rPr>
        <w:t>(7) GB50185-2010       工业设备及管道绝热工程施工质量验收规范</w:t>
      </w:r>
    </w:p>
    <w:p>
      <w:pPr>
        <w:spacing w:line="360" w:lineRule="auto"/>
        <w:ind w:firstLine="420" w:firstLineChars="200"/>
        <w:rPr>
          <w:rFonts w:hAnsi="宋体"/>
          <w:bCs/>
        </w:rPr>
      </w:pPr>
      <w:r>
        <w:rPr>
          <w:rFonts w:hint="eastAsia" w:hAnsi="宋体"/>
          <w:bCs/>
        </w:rPr>
        <w:t xml:space="preserve">(8) GB50126-2008       工业设备及管道绝热工程施工规范 </w:t>
      </w:r>
    </w:p>
    <w:p>
      <w:pPr>
        <w:spacing w:line="360" w:lineRule="auto"/>
        <w:ind w:firstLine="420" w:firstLineChars="200"/>
        <w:rPr>
          <w:rFonts w:hAnsi="宋体"/>
          <w:bCs/>
        </w:rPr>
      </w:pPr>
      <w:r>
        <w:rPr>
          <w:rFonts w:hint="eastAsia" w:hAnsi="宋体"/>
          <w:bCs/>
        </w:rPr>
        <w:t>(9) GB222-2006</w:t>
      </w:r>
      <w:r>
        <w:rPr>
          <w:rFonts w:hint="eastAsia" w:hAnsi="宋体"/>
          <w:bCs/>
        </w:rPr>
        <w:tab/>
      </w:r>
      <w:r>
        <w:rPr>
          <w:rFonts w:hint="eastAsia" w:hAnsi="宋体"/>
          <w:bCs/>
        </w:rPr>
        <w:t xml:space="preserve">      钢的成品化学成份允许偏差</w:t>
      </w:r>
    </w:p>
    <w:p>
      <w:pPr>
        <w:spacing w:line="360" w:lineRule="auto"/>
        <w:ind w:firstLine="420" w:firstLineChars="200"/>
        <w:rPr>
          <w:rFonts w:hAnsi="宋体"/>
          <w:bCs/>
        </w:rPr>
      </w:pPr>
      <w:r>
        <w:rPr>
          <w:rFonts w:hint="eastAsia" w:hAnsi="宋体"/>
          <w:bCs/>
        </w:rPr>
        <w:t>(10) GB713-2008</w:t>
      </w:r>
      <w:r>
        <w:rPr>
          <w:rFonts w:hint="eastAsia" w:hAnsi="宋体"/>
          <w:bCs/>
        </w:rPr>
        <w:tab/>
      </w:r>
      <w:r>
        <w:rPr>
          <w:rFonts w:hint="eastAsia" w:hAnsi="宋体"/>
          <w:bCs/>
        </w:rPr>
        <w:t xml:space="preserve">      锅炉用碳素钢和低合金钢钢板</w:t>
      </w:r>
    </w:p>
    <w:p>
      <w:pPr>
        <w:spacing w:line="360" w:lineRule="auto"/>
        <w:ind w:firstLine="420" w:firstLineChars="200"/>
        <w:rPr>
          <w:rFonts w:hAnsi="宋体"/>
          <w:bCs/>
        </w:rPr>
      </w:pPr>
      <w:r>
        <w:rPr>
          <w:rFonts w:hint="eastAsia" w:hAnsi="宋体"/>
          <w:bCs/>
        </w:rPr>
        <w:t>(11) GB5777-2008</w:t>
      </w:r>
      <w:r>
        <w:rPr>
          <w:rFonts w:hint="eastAsia" w:hAnsi="宋体"/>
          <w:bCs/>
        </w:rPr>
        <w:tab/>
      </w:r>
      <w:r>
        <w:rPr>
          <w:rFonts w:hint="eastAsia" w:hAnsi="宋体"/>
          <w:bCs/>
        </w:rPr>
        <w:t xml:space="preserve">      无缝钢管超声波探伤方法</w:t>
      </w:r>
    </w:p>
    <w:p>
      <w:pPr>
        <w:spacing w:line="360" w:lineRule="auto"/>
        <w:ind w:firstLine="420" w:firstLineChars="200"/>
        <w:rPr>
          <w:rFonts w:hAnsi="宋体"/>
          <w:bCs/>
        </w:rPr>
      </w:pPr>
      <w:r>
        <w:rPr>
          <w:rFonts w:hint="eastAsia" w:hAnsi="宋体"/>
          <w:bCs/>
        </w:rPr>
        <w:t>(12) GB3323-2005</w:t>
      </w:r>
      <w:r>
        <w:rPr>
          <w:rFonts w:hint="eastAsia" w:hAnsi="宋体"/>
          <w:bCs/>
        </w:rPr>
        <w:tab/>
      </w:r>
      <w:r>
        <w:rPr>
          <w:rFonts w:hint="eastAsia" w:hAnsi="宋体"/>
          <w:bCs/>
        </w:rPr>
        <w:t xml:space="preserve">      钢熔化焊对接接头射线照相和质量分级</w:t>
      </w:r>
    </w:p>
    <w:p>
      <w:pPr>
        <w:spacing w:line="360" w:lineRule="auto"/>
        <w:ind w:firstLine="420" w:firstLineChars="200"/>
        <w:rPr>
          <w:rFonts w:hAnsi="宋体"/>
          <w:bCs/>
        </w:rPr>
      </w:pPr>
      <w:r>
        <w:rPr>
          <w:rFonts w:hint="eastAsia" w:hAnsi="宋体"/>
          <w:bCs/>
        </w:rPr>
        <w:t>(13) GB10561-2005</w:t>
      </w:r>
      <w:r>
        <w:rPr>
          <w:rFonts w:hint="eastAsia" w:hAnsi="宋体"/>
          <w:bCs/>
        </w:rPr>
        <w:tab/>
      </w:r>
      <w:r>
        <w:rPr>
          <w:rFonts w:hint="eastAsia" w:hAnsi="宋体"/>
          <w:bCs/>
        </w:rPr>
        <w:t>钢中非金属夹杂物含号的测定一标准评级图显微检验法</w:t>
      </w:r>
    </w:p>
    <w:p>
      <w:pPr>
        <w:spacing w:line="360" w:lineRule="auto"/>
        <w:ind w:firstLine="420" w:firstLineChars="200"/>
        <w:rPr>
          <w:rFonts w:hAnsi="宋体"/>
          <w:bCs/>
        </w:rPr>
      </w:pPr>
      <w:r>
        <w:rPr>
          <w:rFonts w:hint="eastAsia" w:hAnsi="宋体"/>
          <w:bCs/>
        </w:rPr>
        <w:t>(14) GB150-2011</w:t>
      </w:r>
      <w:r>
        <w:rPr>
          <w:rFonts w:hint="eastAsia" w:hAnsi="宋体"/>
          <w:bCs/>
        </w:rPr>
        <w:tab/>
      </w:r>
      <w:r>
        <w:rPr>
          <w:rFonts w:hint="eastAsia" w:hAnsi="宋体"/>
          <w:bCs/>
        </w:rPr>
        <w:t xml:space="preserve">      钢制压力容器及标准释义</w:t>
      </w:r>
    </w:p>
    <w:p>
      <w:pPr>
        <w:spacing w:line="360" w:lineRule="auto"/>
        <w:ind w:firstLine="420" w:firstLineChars="200"/>
        <w:rPr>
          <w:rFonts w:hAnsi="宋体"/>
          <w:bCs/>
        </w:rPr>
      </w:pPr>
      <w:r>
        <w:rPr>
          <w:rFonts w:hint="eastAsia" w:hAnsi="宋体"/>
          <w:bCs/>
        </w:rPr>
        <w:t>(15) GB/T 13298-2015</w:t>
      </w:r>
      <w:r>
        <w:rPr>
          <w:rFonts w:hint="eastAsia" w:hAnsi="宋体"/>
          <w:bCs/>
        </w:rPr>
        <w:tab/>
      </w:r>
      <w:r>
        <w:rPr>
          <w:rFonts w:hint="eastAsia" w:hAnsi="宋体"/>
          <w:bCs/>
        </w:rPr>
        <w:t xml:space="preserve">   金属显微组织检验方法</w:t>
      </w:r>
    </w:p>
    <w:p>
      <w:pPr>
        <w:spacing w:line="360" w:lineRule="auto"/>
        <w:ind w:firstLine="420" w:firstLineChars="200"/>
        <w:rPr>
          <w:rFonts w:hAnsi="宋体"/>
          <w:bCs/>
        </w:rPr>
      </w:pPr>
      <w:r>
        <w:rPr>
          <w:rFonts w:hint="eastAsia" w:hAnsi="宋体"/>
          <w:bCs/>
        </w:rPr>
        <w:t>(16) GB/T 13793-2008</w:t>
      </w:r>
      <w:r>
        <w:rPr>
          <w:rFonts w:hint="eastAsia" w:hAnsi="宋体"/>
          <w:bCs/>
        </w:rPr>
        <w:tab/>
      </w:r>
      <w:r>
        <w:rPr>
          <w:rFonts w:hint="eastAsia" w:hAnsi="宋体"/>
          <w:bCs/>
        </w:rPr>
        <w:t xml:space="preserve">   直缝电焊钢管</w:t>
      </w:r>
    </w:p>
    <w:p>
      <w:pPr>
        <w:spacing w:line="360" w:lineRule="auto"/>
        <w:ind w:firstLine="420" w:firstLineChars="200"/>
        <w:rPr>
          <w:rFonts w:hAnsi="宋体"/>
          <w:bCs/>
        </w:rPr>
      </w:pPr>
      <w:r>
        <w:rPr>
          <w:rFonts w:hint="eastAsia" w:hAnsi="宋体"/>
          <w:bCs/>
        </w:rPr>
        <w:t>(17) GB 12778-2008</w:t>
      </w:r>
      <w:r>
        <w:rPr>
          <w:rFonts w:hint="eastAsia" w:hAnsi="宋体"/>
          <w:bCs/>
        </w:rPr>
        <w:tab/>
      </w:r>
      <w:r>
        <w:rPr>
          <w:rFonts w:hint="eastAsia" w:hAnsi="宋体"/>
          <w:bCs/>
        </w:rPr>
        <w:t xml:space="preserve">   金属夏比冲击断口测定方法</w:t>
      </w:r>
    </w:p>
    <w:p>
      <w:pPr>
        <w:spacing w:line="360" w:lineRule="auto"/>
        <w:ind w:firstLine="420" w:firstLineChars="200"/>
        <w:rPr>
          <w:rFonts w:hAnsi="宋体"/>
          <w:bCs/>
        </w:rPr>
      </w:pPr>
      <w:r>
        <w:rPr>
          <w:rFonts w:hint="eastAsia" w:hAnsi="宋体"/>
          <w:bCs/>
        </w:rPr>
        <w:t>(18) GB/T 15822-2005   无损检测磁粉检测（系列标准）</w:t>
      </w:r>
    </w:p>
    <w:p>
      <w:pPr>
        <w:spacing w:line="360" w:lineRule="auto"/>
        <w:ind w:firstLine="420" w:firstLineChars="200"/>
        <w:rPr>
          <w:rFonts w:hAnsi="宋体"/>
          <w:bCs/>
        </w:rPr>
      </w:pPr>
      <w:r>
        <w:rPr>
          <w:rFonts w:hint="eastAsia" w:hAnsi="宋体"/>
          <w:bCs/>
        </w:rPr>
        <w:t>(19) GB/T 223</w:t>
      </w:r>
      <w:r>
        <w:rPr>
          <w:rFonts w:hint="eastAsia" w:hAnsi="宋体"/>
          <w:bCs/>
        </w:rPr>
        <w:tab/>
      </w:r>
      <w:r>
        <w:rPr>
          <w:rFonts w:hint="eastAsia" w:hAnsi="宋体"/>
          <w:bCs/>
        </w:rPr>
        <w:t xml:space="preserve">           钢铁及合金化学分析方法（系列标准）</w:t>
      </w:r>
    </w:p>
    <w:p>
      <w:pPr>
        <w:spacing w:line="360" w:lineRule="auto"/>
        <w:ind w:firstLine="420" w:firstLineChars="200"/>
        <w:rPr>
          <w:rFonts w:hAnsi="宋体"/>
          <w:bCs/>
        </w:rPr>
      </w:pPr>
      <w:r>
        <w:rPr>
          <w:rFonts w:hint="eastAsia" w:hAnsi="宋体"/>
          <w:bCs/>
        </w:rPr>
        <w:t>(20) DL 441-2004</w:t>
      </w:r>
      <w:r>
        <w:rPr>
          <w:rFonts w:hint="eastAsia" w:hAnsi="宋体"/>
          <w:bCs/>
        </w:rPr>
        <w:tab/>
      </w:r>
      <w:r>
        <w:rPr>
          <w:rFonts w:hint="eastAsia" w:hAnsi="宋体"/>
          <w:bCs/>
        </w:rPr>
        <w:t xml:space="preserve">     火力发电厂高温高压蒸汽管道蠕变监督导则</w:t>
      </w:r>
    </w:p>
    <w:p>
      <w:pPr>
        <w:spacing w:line="360" w:lineRule="auto"/>
        <w:ind w:firstLine="420" w:firstLineChars="200"/>
        <w:rPr>
          <w:rFonts w:hAnsi="宋体"/>
          <w:bCs/>
        </w:rPr>
      </w:pPr>
      <w:r>
        <w:rPr>
          <w:rFonts w:hint="eastAsia" w:hAnsi="宋体"/>
          <w:bCs/>
        </w:rPr>
        <w:t>(21) DL/T 438-2016</w:t>
      </w:r>
      <w:r>
        <w:rPr>
          <w:rFonts w:hint="eastAsia" w:hAnsi="宋体"/>
          <w:bCs/>
        </w:rPr>
        <w:tab/>
      </w:r>
      <w:r>
        <w:rPr>
          <w:rFonts w:hint="eastAsia" w:hAnsi="宋体"/>
          <w:bCs/>
        </w:rPr>
        <w:t xml:space="preserve">    火力发电厂金属技术监督规程</w:t>
      </w:r>
    </w:p>
    <w:p>
      <w:pPr>
        <w:spacing w:line="360" w:lineRule="auto"/>
        <w:ind w:firstLine="420" w:firstLineChars="200"/>
        <w:rPr>
          <w:rFonts w:hAnsi="宋体"/>
          <w:bCs/>
        </w:rPr>
      </w:pPr>
      <w:r>
        <w:rPr>
          <w:rFonts w:hint="eastAsia" w:hAnsi="宋体"/>
          <w:bCs/>
        </w:rPr>
        <w:t>(23) DL/T 869-2012</w:t>
      </w:r>
      <w:r>
        <w:rPr>
          <w:rFonts w:hint="eastAsia" w:hAnsi="宋体"/>
          <w:bCs/>
        </w:rPr>
        <w:tab/>
      </w:r>
      <w:r>
        <w:rPr>
          <w:rFonts w:hint="eastAsia" w:hAnsi="宋体"/>
          <w:bCs/>
        </w:rPr>
        <w:t xml:space="preserve">    火力发电厂焊接技术规程</w:t>
      </w:r>
    </w:p>
    <w:p>
      <w:pPr>
        <w:spacing w:line="360" w:lineRule="auto"/>
        <w:ind w:firstLine="420" w:firstLineChars="200"/>
        <w:rPr>
          <w:rFonts w:hAnsi="宋体"/>
          <w:bCs/>
        </w:rPr>
      </w:pPr>
      <w:r>
        <w:rPr>
          <w:rFonts w:hint="eastAsia" w:hAnsi="宋体"/>
          <w:bCs/>
        </w:rPr>
        <w:t>(24) DL 5028-2015</w:t>
      </w:r>
      <w:r>
        <w:rPr>
          <w:rFonts w:hint="eastAsia" w:hAnsi="宋体"/>
          <w:bCs/>
        </w:rPr>
        <w:tab/>
      </w:r>
      <w:r>
        <w:rPr>
          <w:rFonts w:hint="eastAsia" w:hAnsi="宋体"/>
          <w:bCs/>
        </w:rPr>
        <w:t xml:space="preserve">       电力工程制图标准</w:t>
      </w:r>
    </w:p>
    <w:p>
      <w:pPr>
        <w:spacing w:line="360" w:lineRule="auto"/>
        <w:ind w:firstLine="420" w:firstLineChars="200"/>
        <w:rPr>
          <w:rFonts w:hAnsi="宋体"/>
          <w:bCs/>
        </w:rPr>
      </w:pPr>
      <w:r>
        <w:rPr>
          <w:rFonts w:hint="eastAsia" w:hAnsi="宋体"/>
          <w:bCs/>
        </w:rPr>
        <w:t>(25) DL/T 5026-93</w:t>
      </w:r>
      <w:r>
        <w:rPr>
          <w:rFonts w:hint="eastAsia" w:hAnsi="宋体"/>
          <w:bCs/>
        </w:rPr>
        <w:tab/>
      </w:r>
      <w:r>
        <w:rPr>
          <w:rFonts w:hint="eastAsia" w:hAnsi="宋体"/>
          <w:bCs/>
        </w:rPr>
        <w:t xml:space="preserve">   电力工程计算机辅助设计技术规定</w:t>
      </w:r>
    </w:p>
    <w:p>
      <w:pPr>
        <w:spacing w:line="360" w:lineRule="auto"/>
        <w:ind w:firstLine="420" w:firstLineChars="200"/>
        <w:rPr>
          <w:rFonts w:hAnsi="宋体"/>
          <w:bCs/>
        </w:rPr>
      </w:pPr>
      <w:r>
        <w:rPr>
          <w:rFonts w:hint="eastAsia" w:hAnsi="宋体"/>
          <w:bCs/>
        </w:rPr>
        <w:t>(26) DL/T 5054-2016</w:t>
      </w:r>
      <w:r>
        <w:rPr>
          <w:rFonts w:hint="eastAsia" w:hAnsi="宋体"/>
          <w:bCs/>
        </w:rPr>
        <w:tab/>
      </w:r>
      <w:r>
        <w:rPr>
          <w:rFonts w:hint="eastAsia" w:hAnsi="宋体"/>
          <w:bCs/>
        </w:rPr>
        <w:t xml:space="preserve">   火力发电厂汽水管道设计规范</w:t>
      </w:r>
    </w:p>
    <w:p>
      <w:pPr>
        <w:spacing w:line="360" w:lineRule="auto"/>
        <w:ind w:firstLine="420" w:firstLineChars="200"/>
        <w:rPr>
          <w:rFonts w:hAnsi="宋体"/>
          <w:bCs/>
        </w:rPr>
      </w:pPr>
      <w:r>
        <w:rPr>
          <w:rFonts w:hint="eastAsia" w:hAnsi="宋体"/>
          <w:bCs/>
        </w:rPr>
        <w:t>(27) DL/T 5366-2006</w:t>
      </w:r>
      <w:r>
        <w:rPr>
          <w:rFonts w:hint="eastAsia" w:hAnsi="宋体"/>
          <w:bCs/>
        </w:rPr>
        <w:tab/>
      </w:r>
      <w:r>
        <w:rPr>
          <w:rFonts w:hint="eastAsia" w:hAnsi="宋体"/>
          <w:bCs/>
        </w:rPr>
        <w:t xml:space="preserve">   火力发电厂汽水管道应力计算技术规程</w:t>
      </w:r>
    </w:p>
    <w:p>
      <w:pPr>
        <w:spacing w:line="360" w:lineRule="auto"/>
        <w:ind w:firstLine="420" w:firstLineChars="200"/>
        <w:rPr>
          <w:rFonts w:hAnsi="宋体"/>
          <w:bCs/>
        </w:rPr>
      </w:pPr>
      <w:r>
        <w:rPr>
          <w:rFonts w:hint="eastAsia" w:hAnsi="宋体"/>
          <w:bCs/>
        </w:rPr>
        <w:t>(28）GB/T8163-20</w:t>
      </w:r>
      <w:r>
        <w:rPr>
          <w:rFonts w:hAnsi="宋体"/>
          <w:bCs/>
        </w:rPr>
        <w:t>1</w:t>
      </w:r>
      <w:r>
        <w:rPr>
          <w:rFonts w:hint="eastAsia" w:hAnsi="宋体"/>
          <w:bCs/>
        </w:rPr>
        <w:t xml:space="preserve">8     输送流体用无缝钢管   </w:t>
      </w:r>
    </w:p>
    <w:p>
      <w:pPr>
        <w:spacing w:line="360" w:lineRule="auto"/>
        <w:ind w:firstLine="420" w:firstLineChars="200"/>
        <w:rPr>
          <w:rFonts w:hAnsi="宋体"/>
        </w:rPr>
      </w:pPr>
      <w:r>
        <w:rPr>
          <w:rFonts w:hint="eastAsia" w:hAnsi="宋体"/>
          <w:bCs/>
        </w:rPr>
        <w:t>(29）</w:t>
      </w:r>
      <w:r>
        <w:rPr>
          <w:rFonts w:hAnsi="宋体"/>
        </w:rPr>
        <w:t>GB/T9711-</w:t>
      </w:r>
      <w:r>
        <w:rPr>
          <w:rFonts w:hint="eastAsia" w:hAnsi="宋体"/>
        </w:rPr>
        <w:t>2017</w:t>
      </w:r>
      <w:r>
        <w:rPr>
          <w:rFonts w:hint="eastAsia" w:hAnsi="宋体"/>
          <w:bCs/>
          <w:color w:val="FF0000"/>
        </w:rPr>
        <w:t xml:space="preserve">     </w:t>
      </w:r>
      <w:r>
        <w:rPr>
          <w:rFonts w:hAnsi="宋体"/>
        </w:rPr>
        <w:t>石油天然气工业</w:t>
      </w:r>
      <w:r>
        <w:rPr>
          <w:rFonts w:hint="eastAsia" w:hAnsi="宋体"/>
        </w:rPr>
        <w:t>管线输送系统用钢管</w:t>
      </w:r>
    </w:p>
    <w:p>
      <w:pPr>
        <w:spacing w:line="360" w:lineRule="auto"/>
        <w:ind w:firstLine="420" w:firstLineChars="200"/>
        <w:rPr>
          <w:rFonts w:hAnsi="宋体"/>
        </w:rPr>
      </w:pPr>
      <w:r>
        <w:rPr>
          <w:rFonts w:hint="eastAsia" w:hAnsi="宋体"/>
          <w:bCs/>
        </w:rPr>
        <w:t>(30）</w:t>
      </w:r>
      <w:r>
        <w:rPr>
          <w:rFonts w:hint="eastAsia" w:hAnsi="宋体" w:cs="宋体"/>
        </w:rPr>
        <w:t xml:space="preserve">GB/T 12459-2017    </w:t>
      </w:r>
      <w:r>
        <w:rPr>
          <w:rFonts w:hint="eastAsia" w:hAnsi="宋体" w:cs="宋体"/>
        </w:rPr>
        <w:tab/>
      </w:r>
      <w:r>
        <w:rPr>
          <w:rFonts w:hint="eastAsia" w:hAnsi="宋体" w:cs="宋体"/>
        </w:rPr>
        <w:t xml:space="preserve">钢制对焊管件 类型与参数 </w:t>
      </w:r>
    </w:p>
    <w:p>
      <w:pPr>
        <w:spacing w:line="360" w:lineRule="auto"/>
        <w:ind w:firstLine="420" w:firstLineChars="200"/>
        <w:rPr>
          <w:color w:val="000000"/>
        </w:rPr>
      </w:pPr>
      <w:r>
        <w:rPr>
          <w:rFonts w:hint="eastAsia" w:hAnsi="宋体"/>
          <w:bCs/>
        </w:rPr>
        <w:t>(31）</w:t>
      </w:r>
      <w:r>
        <w:rPr>
          <w:rFonts w:hint="eastAsia"/>
          <w:color w:val="000000"/>
        </w:rPr>
        <w:t xml:space="preserve">GB/T13401-2017        钢制对焊管件技术规范    </w:t>
      </w:r>
    </w:p>
    <w:p>
      <w:pPr>
        <w:tabs>
          <w:tab w:val="left" w:pos="0"/>
        </w:tabs>
        <w:spacing w:line="360" w:lineRule="auto"/>
        <w:ind w:right="210" w:rightChars="100" w:firstLine="420" w:firstLineChars="200"/>
      </w:pPr>
      <w:r>
        <w:rPr>
          <w:rFonts w:hint="eastAsia" w:hAnsi="宋体"/>
          <w:bCs/>
        </w:rPr>
        <w:t>(32）</w:t>
      </w:r>
      <w:r>
        <w:rPr>
          <w:rFonts w:hint="eastAsia" w:hAnsi="宋体"/>
        </w:rPr>
        <w:t xml:space="preserve">SY/T0063-1999         管道防腐层检漏试验方法                          </w:t>
      </w:r>
      <w:r>
        <w:rPr>
          <w:rFonts w:hint="eastAsia"/>
          <w:color w:val="000000"/>
        </w:rPr>
        <w:t xml:space="preserve">                       </w:t>
      </w:r>
    </w:p>
    <w:p>
      <w:pPr>
        <w:tabs>
          <w:tab w:val="left" w:pos="0"/>
        </w:tabs>
        <w:spacing w:line="360" w:lineRule="auto"/>
        <w:ind w:right="100"/>
      </w:pPr>
      <w:r>
        <w:rPr>
          <w:rFonts w:hint="eastAsia" w:hAnsi="宋体"/>
          <w:bCs/>
        </w:rPr>
        <w:t>4.2</w:t>
      </w:r>
      <w:r>
        <w:rPr>
          <w:rFonts w:hint="eastAsia" w:hAnsi="宋体"/>
        </w:rPr>
        <w:t>地埋蒸汽管道外套管防腐采用环氧煤沥青防腐层，特加强级总厚度不小于</w:t>
      </w:r>
      <w:r>
        <w:rPr>
          <w:rFonts w:hAnsi="宋体"/>
        </w:rPr>
        <w:t>1.</w:t>
      </w:r>
      <w:r>
        <w:rPr>
          <w:rFonts w:hint="eastAsia" w:hAnsi="宋体"/>
        </w:rPr>
        <w:t>2</w:t>
      </w:r>
      <w:r>
        <w:rPr>
          <w:rFonts w:hAnsi="宋体"/>
        </w:rPr>
        <w:t>mm</w:t>
      </w:r>
      <w:r>
        <w:rPr>
          <w:rFonts w:hint="eastAsia" w:hAnsi="宋体"/>
        </w:rPr>
        <w:t>，防腐结构为一底三布五油（底漆</w:t>
      </w:r>
      <w:r>
        <w:rPr>
          <w:rFonts w:hAnsi="宋体"/>
        </w:rPr>
        <w:t>-</w:t>
      </w:r>
      <w:r>
        <w:rPr>
          <w:rFonts w:hint="eastAsia" w:hAnsi="宋体"/>
        </w:rPr>
        <w:t>面漆</w:t>
      </w:r>
      <w:r>
        <w:rPr>
          <w:rFonts w:hAnsi="宋体"/>
        </w:rPr>
        <w:t>-</w:t>
      </w:r>
      <w:r>
        <w:rPr>
          <w:rFonts w:hint="eastAsia" w:hAnsi="宋体"/>
        </w:rPr>
        <w:t>玻璃布</w:t>
      </w:r>
      <w:r>
        <w:rPr>
          <w:rFonts w:hAnsi="宋体"/>
        </w:rPr>
        <w:t>-</w:t>
      </w:r>
      <w:r>
        <w:rPr>
          <w:rFonts w:hint="eastAsia" w:hAnsi="宋体"/>
        </w:rPr>
        <w:t>面漆</w:t>
      </w:r>
      <w:r>
        <w:rPr>
          <w:rFonts w:hAnsi="宋体"/>
        </w:rPr>
        <w:t>-</w:t>
      </w:r>
      <w:r>
        <w:rPr>
          <w:rFonts w:hint="eastAsia" w:hAnsi="宋体"/>
        </w:rPr>
        <w:t>玻璃布</w:t>
      </w:r>
      <w:r>
        <w:rPr>
          <w:rFonts w:hAnsi="宋体"/>
        </w:rPr>
        <w:t>-</w:t>
      </w:r>
      <w:r>
        <w:rPr>
          <w:rFonts w:hint="eastAsia" w:hAnsi="宋体"/>
        </w:rPr>
        <w:t>面漆</w:t>
      </w:r>
      <w:r>
        <w:rPr>
          <w:rFonts w:hAnsi="宋体"/>
        </w:rPr>
        <w:t>-</w:t>
      </w:r>
      <w:r>
        <w:rPr>
          <w:rFonts w:hint="eastAsia" w:hAnsi="宋体"/>
        </w:rPr>
        <w:t>玻璃布</w:t>
      </w:r>
      <w:r>
        <w:rPr>
          <w:rFonts w:hAnsi="宋体"/>
        </w:rPr>
        <w:t>-</w:t>
      </w:r>
      <w:r>
        <w:rPr>
          <w:rFonts w:hint="eastAsia" w:hAnsi="宋体"/>
        </w:rPr>
        <w:t>两层面漆）。防腐层应进行电火花检漏，</w:t>
      </w:r>
      <w:r>
        <w:rPr>
          <w:rFonts w:hint="eastAsia" w:hAnsi="宋体"/>
          <w:b/>
          <w:color w:val="000000"/>
        </w:rPr>
        <w:t>8000V电火花检测，</w:t>
      </w:r>
      <w:r>
        <w:rPr>
          <w:rFonts w:hint="eastAsia" w:hAnsi="宋体"/>
        </w:rPr>
        <w:t>并应符合现行行业标准《管道试验防腐层检漏试验方法》SY/T0063的7.1条相关规定。</w:t>
      </w:r>
    </w:p>
    <w:p>
      <w:pPr>
        <w:tabs>
          <w:tab w:val="left" w:pos="180"/>
        </w:tabs>
        <w:spacing w:line="360" w:lineRule="auto"/>
      </w:pPr>
      <w:r>
        <w:rPr>
          <w:rFonts w:hint="eastAsia"/>
        </w:rPr>
        <w:t>1、</w:t>
      </w:r>
      <w:r>
        <w:rPr>
          <w:rFonts w:hint="eastAsia" w:hAnsi="宋体" w:cs="Arial"/>
        </w:rPr>
        <w:t>环氧煤沥青</w:t>
      </w:r>
    </w:p>
    <w:p>
      <w:pPr>
        <w:tabs>
          <w:tab w:val="left" w:pos="0"/>
        </w:tabs>
        <w:spacing w:line="360" w:lineRule="auto"/>
        <w:ind w:firstLine="420" w:firstLineChars="200"/>
      </w:pPr>
      <w:r>
        <w:rPr>
          <w:rFonts w:hint="eastAsia" w:hAnsi="宋体" w:cs="Arial"/>
        </w:rPr>
        <w:t>环氧煤沥青要求如下：</w:t>
      </w:r>
    </w:p>
    <w:tbl>
      <w:tblPr>
        <w:tblStyle w:val="3"/>
        <w:tblW w:w="0" w:type="auto"/>
        <w:tblInd w:w="87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629"/>
        <w:gridCol w:w="332"/>
        <w:gridCol w:w="1427"/>
        <w:gridCol w:w="413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713" w:type="dxa"/>
            <w:vMerge w:val="restart"/>
            <w:vAlign w:val="center"/>
          </w:tcPr>
          <w:p>
            <w:pPr>
              <w:jc w:val="center"/>
              <w:rPr>
                <w:rFonts w:hAnsi="宋体"/>
                <w:szCs w:val="21"/>
              </w:rPr>
            </w:pPr>
            <w:r>
              <w:rPr>
                <w:rFonts w:hint="eastAsia" w:hAnsi="宋体"/>
                <w:szCs w:val="21"/>
              </w:rPr>
              <w:t>序号</w:t>
            </w:r>
          </w:p>
        </w:tc>
        <w:tc>
          <w:tcPr>
            <w:tcW w:w="3388" w:type="dxa"/>
            <w:gridSpan w:val="3"/>
            <w:vMerge w:val="restart"/>
            <w:vAlign w:val="center"/>
          </w:tcPr>
          <w:p>
            <w:pPr>
              <w:jc w:val="center"/>
              <w:rPr>
                <w:rFonts w:hAnsi="宋体"/>
                <w:szCs w:val="21"/>
              </w:rPr>
            </w:pPr>
            <w:r>
              <w:rPr>
                <w:rFonts w:hint="eastAsia" w:hAnsi="宋体"/>
                <w:szCs w:val="21"/>
              </w:rPr>
              <w:t>项目</w:t>
            </w:r>
          </w:p>
        </w:tc>
        <w:tc>
          <w:tcPr>
            <w:tcW w:w="4138" w:type="dxa"/>
            <w:vAlign w:val="center"/>
          </w:tcPr>
          <w:p>
            <w:pPr>
              <w:jc w:val="center"/>
              <w:rPr>
                <w:rFonts w:hAnsi="宋体"/>
                <w:szCs w:val="21"/>
              </w:rPr>
            </w:pPr>
            <w:r>
              <w:rPr>
                <w:rFonts w:hint="eastAsia" w:hAnsi="宋体"/>
                <w:szCs w:val="21"/>
              </w:rPr>
              <w:t>指标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713" w:type="dxa"/>
            <w:vMerge w:val="continue"/>
            <w:vAlign w:val="center"/>
          </w:tcPr>
          <w:p>
            <w:pPr>
              <w:jc w:val="center"/>
              <w:rPr>
                <w:rFonts w:hAnsi="宋体"/>
                <w:szCs w:val="21"/>
              </w:rPr>
            </w:pPr>
          </w:p>
        </w:tc>
        <w:tc>
          <w:tcPr>
            <w:tcW w:w="3388" w:type="dxa"/>
            <w:gridSpan w:val="3"/>
            <w:vMerge w:val="continue"/>
            <w:vAlign w:val="center"/>
          </w:tcPr>
          <w:p>
            <w:pPr>
              <w:jc w:val="center"/>
              <w:rPr>
                <w:rFonts w:hAnsi="宋体"/>
                <w:szCs w:val="21"/>
              </w:rPr>
            </w:pPr>
          </w:p>
        </w:tc>
        <w:tc>
          <w:tcPr>
            <w:tcW w:w="4138" w:type="dxa"/>
            <w:vAlign w:val="center"/>
          </w:tcPr>
          <w:p>
            <w:pPr>
              <w:jc w:val="center"/>
              <w:rPr>
                <w:rFonts w:hAnsi="宋体"/>
                <w:szCs w:val="21"/>
              </w:rPr>
            </w:pPr>
            <w:r>
              <w:rPr>
                <w:rFonts w:hint="eastAsia" w:hAnsi="宋体"/>
                <w:szCs w:val="21"/>
              </w:rPr>
              <w:t>面漆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713" w:type="dxa"/>
            <w:vAlign w:val="center"/>
          </w:tcPr>
          <w:p>
            <w:pPr>
              <w:jc w:val="center"/>
              <w:rPr>
                <w:rFonts w:hAnsi="宋体"/>
                <w:szCs w:val="21"/>
              </w:rPr>
            </w:pPr>
            <w:r>
              <w:rPr>
                <w:rFonts w:hAnsi="宋体"/>
                <w:szCs w:val="21"/>
              </w:rPr>
              <w:t>1</w:t>
            </w:r>
          </w:p>
        </w:tc>
        <w:tc>
          <w:tcPr>
            <w:tcW w:w="3388" w:type="dxa"/>
            <w:gridSpan w:val="3"/>
            <w:vAlign w:val="center"/>
          </w:tcPr>
          <w:p>
            <w:pPr>
              <w:jc w:val="center"/>
              <w:rPr>
                <w:rFonts w:hAnsi="宋体"/>
                <w:szCs w:val="21"/>
              </w:rPr>
            </w:pPr>
            <w:r>
              <w:rPr>
                <w:rFonts w:hint="eastAsia" w:hAnsi="宋体"/>
                <w:szCs w:val="21"/>
              </w:rPr>
              <w:t>外观</w:t>
            </w:r>
          </w:p>
        </w:tc>
        <w:tc>
          <w:tcPr>
            <w:tcW w:w="4138" w:type="dxa"/>
            <w:vAlign w:val="center"/>
          </w:tcPr>
          <w:p>
            <w:pPr>
              <w:jc w:val="center"/>
              <w:rPr>
                <w:rFonts w:hAnsi="宋体"/>
                <w:szCs w:val="21"/>
              </w:rPr>
            </w:pPr>
            <w:r>
              <w:rPr>
                <w:rFonts w:hint="eastAsia" w:hAnsi="宋体"/>
                <w:szCs w:val="21"/>
              </w:rPr>
              <w:t>黑色有光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713" w:type="dxa"/>
            <w:vAlign w:val="center"/>
          </w:tcPr>
          <w:p>
            <w:pPr>
              <w:jc w:val="center"/>
              <w:rPr>
                <w:rFonts w:hAnsi="宋体"/>
                <w:szCs w:val="21"/>
              </w:rPr>
            </w:pPr>
            <w:r>
              <w:rPr>
                <w:rFonts w:hAnsi="宋体"/>
                <w:szCs w:val="21"/>
              </w:rPr>
              <w:t>2</w:t>
            </w:r>
          </w:p>
        </w:tc>
        <w:tc>
          <w:tcPr>
            <w:tcW w:w="3388" w:type="dxa"/>
            <w:gridSpan w:val="3"/>
            <w:vAlign w:val="center"/>
          </w:tcPr>
          <w:p>
            <w:pPr>
              <w:ind w:right="420"/>
              <w:jc w:val="center"/>
              <w:rPr>
                <w:rFonts w:hAnsi="宋体"/>
                <w:szCs w:val="21"/>
              </w:rPr>
            </w:pPr>
            <w:r>
              <w:rPr>
                <w:rFonts w:hint="eastAsia" w:hAnsi="宋体"/>
                <w:szCs w:val="21"/>
              </w:rPr>
              <w:t>粘度（涂</w:t>
            </w:r>
            <w:r>
              <w:rPr>
                <w:rFonts w:hAnsi="宋体"/>
                <w:szCs w:val="21"/>
              </w:rPr>
              <w:t>-4</w:t>
            </w:r>
            <w:r>
              <w:rPr>
                <w:rFonts w:hint="eastAsia" w:hAnsi="宋体"/>
                <w:szCs w:val="21"/>
              </w:rPr>
              <w:t>杯</w:t>
            </w:r>
            <w:r>
              <w:rPr>
                <w:rFonts w:hAnsi="宋体"/>
                <w:szCs w:val="21"/>
              </w:rPr>
              <w:t>.S</w:t>
            </w:r>
            <w:r>
              <w:rPr>
                <w:rFonts w:hint="eastAsia" w:hAnsi="宋体"/>
                <w:szCs w:val="21"/>
              </w:rPr>
              <w:t>）</w:t>
            </w:r>
            <w:r>
              <w:rPr>
                <w:rFonts w:hAnsi="宋体"/>
                <w:szCs w:val="21"/>
              </w:rPr>
              <w:t xml:space="preserve">       </w:t>
            </w:r>
            <w:r>
              <w:rPr>
                <w:rFonts w:hint="eastAsia" w:hAnsi="宋体"/>
                <w:szCs w:val="21"/>
              </w:rPr>
              <w:t>≥</w:t>
            </w:r>
          </w:p>
        </w:tc>
        <w:tc>
          <w:tcPr>
            <w:tcW w:w="4138" w:type="dxa"/>
            <w:vAlign w:val="center"/>
          </w:tcPr>
          <w:p>
            <w:pPr>
              <w:ind w:right="420"/>
              <w:jc w:val="center"/>
              <w:rPr>
                <w:rFonts w:hAnsi="宋体"/>
                <w:szCs w:val="21"/>
              </w:rPr>
            </w:pPr>
            <w:r>
              <w:rPr>
                <w:rFonts w:hAnsi="宋体"/>
                <w:szCs w:val="21"/>
              </w:rPr>
              <w:t>60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6" w:hRule="atLeast"/>
        </w:trPr>
        <w:tc>
          <w:tcPr>
            <w:tcW w:w="713" w:type="dxa"/>
            <w:vMerge w:val="restart"/>
            <w:vAlign w:val="center"/>
          </w:tcPr>
          <w:p>
            <w:pPr>
              <w:jc w:val="center"/>
              <w:rPr>
                <w:rFonts w:hAnsi="宋体"/>
                <w:szCs w:val="21"/>
              </w:rPr>
            </w:pPr>
            <w:r>
              <w:rPr>
                <w:rFonts w:hAnsi="宋体"/>
                <w:szCs w:val="21"/>
              </w:rPr>
              <w:t>3</w:t>
            </w:r>
          </w:p>
        </w:tc>
        <w:tc>
          <w:tcPr>
            <w:tcW w:w="1961" w:type="dxa"/>
            <w:gridSpan w:val="2"/>
            <w:vMerge w:val="restart"/>
            <w:vAlign w:val="center"/>
          </w:tcPr>
          <w:p>
            <w:pPr>
              <w:jc w:val="center"/>
              <w:rPr>
                <w:rFonts w:hAnsi="宋体"/>
                <w:szCs w:val="21"/>
              </w:rPr>
            </w:pPr>
            <w:r>
              <w:rPr>
                <w:rFonts w:hint="eastAsia" w:hAnsi="宋体"/>
                <w:szCs w:val="21"/>
              </w:rPr>
              <w:t>干燥时间</w:t>
            </w:r>
          </w:p>
          <w:p>
            <w:pPr>
              <w:jc w:val="center"/>
              <w:rPr>
                <w:rFonts w:hAnsi="宋体"/>
                <w:szCs w:val="21"/>
              </w:rPr>
            </w:pPr>
            <w:r>
              <w:rPr>
                <w:rFonts w:hint="eastAsia" w:hAnsi="宋体"/>
                <w:szCs w:val="21"/>
              </w:rPr>
              <w:t>（</w:t>
            </w:r>
            <w:r>
              <w:rPr>
                <w:rFonts w:hAnsi="宋体"/>
                <w:szCs w:val="21"/>
              </w:rPr>
              <w:t>25+-1</w:t>
            </w:r>
            <w:r>
              <w:rPr>
                <w:rFonts w:hint="eastAsia" w:hAnsi="宋体"/>
                <w:szCs w:val="21"/>
              </w:rPr>
              <w:t>℃）</w:t>
            </w:r>
            <w:r>
              <w:rPr>
                <w:rFonts w:hAnsi="宋体"/>
                <w:szCs w:val="21"/>
              </w:rPr>
              <w:t>h</w:t>
            </w:r>
          </w:p>
        </w:tc>
        <w:tc>
          <w:tcPr>
            <w:tcW w:w="1427" w:type="dxa"/>
            <w:vAlign w:val="center"/>
          </w:tcPr>
          <w:p>
            <w:pPr>
              <w:jc w:val="center"/>
              <w:rPr>
                <w:rFonts w:hAnsi="宋体"/>
                <w:szCs w:val="21"/>
              </w:rPr>
            </w:pPr>
            <w:r>
              <w:rPr>
                <w:rFonts w:hint="eastAsia" w:hAnsi="宋体"/>
                <w:szCs w:val="21"/>
              </w:rPr>
              <w:t>表干≤</w:t>
            </w:r>
          </w:p>
        </w:tc>
        <w:tc>
          <w:tcPr>
            <w:tcW w:w="4138" w:type="dxa"/>
            <w:vAlign w:val="center"/>
          </w:tcPr>
          <w:p>
            <w:pPr>
              <w:ind w:firstLine="1785" w:firstLineChars="850"/>
              <w:rPr>
                <w:rFonts w:hAnsi="宋体"/>
                <w:szCs w:val="21"/>
              </w:rPr>
            </w:pPr>
            <w:r>
              <w:rPr>
                <w:rFonts w:hAnsi="宋体"/>
                <w:szCs w:val="21"/>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6" w:hRule="atLeast"/>
        </w:trPr>
        <w:tc>
          <w:tcPr>
            <w:tcW w:w="713" w:type="dxa"/>
            <w:vMerge w:val="continue"/>
            <w:vAlign w:val="center"/>
          </w:tcPr>
          <w:p>
            <w:pPr>
              <w:jc w:val="center"/>
              <w:rPr>
                <w:rFonts w:hAnsi="宋体"/>
                <w:szCs w:val="21"/>
              </w:rPr>
            </w:pPr>
          </w:p>
        </w:tc>
        <w:tc>
          <w:tcPr>
            <w:tcW w:w="1961" w:type="dxa"/>
            <w:gridSpan w:val="2"/>
            <w:vMerge w:val="continue"/>
            <w:vAlign w:val="center"/>
          </w:tcPr>
          <w:p>
            <w:pPr>
              <w:jc w:val="center"/>
              <w:rPr>
                <w:rFonts w:hAnsi="宋体"/>
                <w:szCs w:val="21"/>
              </w:rPr>
            </w:pPr>
          </w:p>
        </w:tc>
        <w:tc>
          <w:tcPr>
            <w:tcW w:w="1427" w:type="dxa"/>
            <w:vAlign w:val="center"/>
          </w:tcPr>
          <w:p>
            <w:pPr>
              <w:jc w:val="center"/>
              <w:rPr>
                <w:rFonts w:hAnsi="宋体"/>
                <w:szCs w:val="21"/>
              </w:rPr>
            </w:pPr>
            <w:r>
              <w:rPr>
                <w:rFonts w:hint="eastAsia" w:hAnsi="宋体"/>
                <w:szCs w:val="21"/>
              </w:rPr>
              <w:t>实干≤</w:t>
            </w:r>
          </w:p>
        </w:tc>
        <w:tc>
          <w:tcPr>
            <w:tcW w:w="4138" w:type="dxa"/>
            <w:vAlign w:val="center"/>
          </w:tcPr>
          <w:p>
            <w:pPr>
              <w:ind w:right="840"/>
              <w:jc w:val="center"/>
              <w:rPr>
                <w:rFonts w:hAnsi="宋体"/>
                <w:szCs w:val="21"/>
              </w:rPr>
            </w:pPr>
            <w:r>
              <w:rPr>
                <w:rFonts w:hint="eastAsia" w:hAnsi="宋体"/>
                <w:szCs w:val="21"/>
              </w:rPr>
              <w:t xml:space="preserve">    </w:t>
            </w:r>
            <w:r>
              <w:rPr>
                <w:rFonts w:hAnsi="宋体"/>
                <w:szCs w:val="21"/>
              </w:rPr>
              <w:t>24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713" w:type="dxa"/>
            <w:vAlign w:val="center"/>
          </w:tcPr>
          <w:p>
            <w:pPr>
              <w:jc w:val="center"/>
              <w:rPr>
                <w:rFonts w:hAnsi="宋体"/>
                <w:szCs w:val="21"/>
              </w:rPr>
            </w:pPr>
            <w:r>
              <w:rPr>
                <w:rFonts w:hAnsi="宋体"/>
                <w:szCs w:val="21"/>
              </w:rPr>
              <w:t>4</w:t>
            </w:r>
          </w:p>
        </w:tc>
        <w:tc>
          <w:tcPr>
            <w:tcW w:w="3388" w:type="dxa"/>
            <w:gridSpan w:val="3"/>
            <w:vAlign w:val="center"/>
          </w:tcPr>
          <w:p>
            <w:pPr>
              <w:jc w:val="center"/>
              <w:rPr>
                <w:rFonts w:hAnsi="宋体"/>
                <w:szCs w:val="21"/>
              </w:rPr>
            </w:pPr>
            <w:r>
              <w:rPr>
                <w:rFonts w:hint="eastAsia" w:hAnsi="宋体"/>
                <w:szCs w:val="21"/>
              </w:rPr>
              <w:t>附着力</w:t>
            </w:r>
            <w:r>
              <w:rPr>
                <w:rFonts w:hAnsi="宋体"/>
                <w:szCs w:val="21"/>
              </w:rPr>
              <w:t xml:space="preserve">  </w:t>
            </w:r>
            <w:r>
              <w:rPr>
                <w:rFonts w:hint="eastAsia" w:hAnsi="宋体"/>
                <w:szCs w:val="21"/>
              </w:rPr>
              <w:t>级</w:t>
            </w:r>
            <w:r>
              <w:rPr>
                <w:rFonts w:hAnsi="宋体"/>
                <w:szCs w:val="21"/>
              </w:rPr>
              <w:t xml:space="preserve">     </w:t>
            </w:r>
            <w:r>
              <w:rPr>
                <w:rFonts w:hint="eastAsia" w:hAnsi="宋体"/>
                <w:szCs w:val="21"/>
              </w:rPr>
              <w:t>≤</w:t>
            </w:r>
          </w:p>
        </w:tc>
        <w:tc>
          <w:tcPr>
            <w:tcW w:w="4138" w:type="dxa"/>
            <w:vAlign w:val="center"/>
          </w:tcPr>
          <w:p>
            <w:pPr>
              <w:ind w:firstLine="1785" w:firstLineChars="850"/>
              <w:rPr>
                <w:rFonts w:hAnsi="宋体"/>
                <w:szCs w:val="21"/>
              </w:rPr>
            </w:pPr>
            <w:r>
              <w:rPr>
                <w:rFonts w:hAnsi="宋体"/>
                <w:szCs w:val="21"/>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713" w:type="dxa"/>
            <w:vAlign w:val="center"/>
          </w:tcPr>
          <w:p>
            <w:pPr>
              <w:jc w:val="center"/>
              <w:rPr>
                <w:rFonts w:hAnsi="宋体"/>
                <w:szCs w:val="21"/>
              </w:rPr>
            </w:pPr>
            <w:r>
              <w:rPr>
                <w:rFonts w:hAnsi="宋体"/>
                <w:szCs w:val="21"/>
              </w:rPr>
              <w:t>5</w:t>
            </w:r>
          </w:p>
        </w:tc>
        <w:tc>
          <w:tcPr>
            <w:tcW w:w="3388" w:type="dxa"/>
            <w:gridSpan w:val="3"/>
            <w:vAlign w:val="center"/>
          </w:tcPr>
          <w:p>
            <w:pPr>
              <w:jc w:val="center"/>
              <w:rPr>
                <w:rFonts w:hAnsi="宋体"/>
                <w:szCs w:val="21"/>
              </w:rPr>
            </w:pPr>
            <w:r>
              <w:rPr>
                <w:rFonts w:hint="eastAsia" w:hAnsi="宋体"/>
                <w:szCs w:val="21"/>
              </w:rPr>
              <w:t>冲击强度</w:t>
            </w:r>
            <w:r>
              <w:rPr>
                <w:rFonts w:hAnsi="宋体"/>
                <w:szCs w:val="21"/>
              </w:rPr>
              <w:t xml:space="preserve">   kg. cm</w:t>
            </w:r>
          </w:p>
        </w:tc>
        <w:tc>
          <w:tcPr>
            <w:tcW w:w="4138" w:type="dxa"/>
            <w:vAlign w:val="center"/>
          </w:tcPr>
          <w:p>
            <w:pPr>
              <w:ind w:firstLine="1680" w:firstLineChars="800"/>
              <w:rPr>
                <w:rFonts w:hAnsi="宋体"/>
                <w:szCs w:val="21"/>
              </w:rPr>
            </w:pPr>
            <w:r>
              <w:rPr>
                <w:rFonts w:hAnsi="宋体"/>
                <w:szCs w:val="21"/>
              </w:rPr>
              <w:t>50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713" w:type="dxa"/>
            <w:vAlign w:val="center"/>
          </w:tcPr>
          <w:p>
            <w:pPr>
              <w:jc w:val="center"/>
              <w:rPr>
                <w:rFonts w:hAnsi="宋体"/>
                <w:szCs w:val="21"/>
              </w:rPr>
            </w:pPr>
            <w:r>
              <w:rPr>
                <w:rFonts w:hAnsi="宋体"/>
                <w:szCs w:val="21"/>
              </w:rPr>
              <w:t>6</w:t>
            </w:r>
          </w:p>
        </w:tc>
        <w:tc>
          <w:tcPr>
            <w:tcW w:w="3388" w:type="dxa"/>
            <w:gridSpan w:val="3"/>
            <w:vAlign w:val="center"/>
          </w:tcPr>
          <w:p>
            <w:pPr>
              <w:jc w:val="center"/>
              <w:rPr>
                <w:rFonts w:hAnsi="宋体"/>
                <w:szCs w:val="21"/>
              </w:rPr>
            </w:pPr>
            <w:r>
              <w:rPr>
                <w:rFonts w:hint="eastAsia" w:hAnsi="宋体"/>
                <w:szCs w:val="21"/>
              </w:rPr>
              <w:t>柔韧性</w:t>
            </w:r>
            <w:r>
              <w:rPr>
                <w:rFonts w:hAnsi="宋体"/>
                <w:szCs w:val="21"/>
              </w:rPr>
              <w:t xml:space="preserve">mm       </w:t>
            </w:r>
            <w:r>
              <w:rPr>
                <w:rFonts w:hint="eastAsia" w:hAnsi="宋体"/>
                <w:szCs w:val="21"/>
              </w:rPr>
              <w:t>≤</w:t>
            </w:r>
          </w:p>
        </w:tc>
        <w:tc>
          <w:tcPr>
            <w:tcW w:w="4138" w:type="dxa"/>
            <w:vAlign w:val="center"/>
          </w:tcPr>
          <w:p>
            <w:pPr>
              <w:ind w:firstLine="1785" w:firstLineChars="850"/>
              <w:rPr>
                <w:rFonts w:hAnsi="宋体"/>
                <w:szCs w:val="21"/>
              </w:rPr>
            </w:pPr>
            <w:r>
              <w:rPr>
                <w:rFonts w:hAnsi="宋体"/>
                <w:szCs w:val="21"/>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713" w:type="dxa"/>
            <w:vAlign w:val="center"/>
          </w:tcPr>
          <w:p>
            <w:pPr>
              <w:jc w:val="center"/>
              <w:rPr>
                <w:rFonts w:hAnsi="宋体"/>
                <w:szCs w:val="21"/>
              </w:rPr>
            </w:pPr>
            <w:r>
              <w:rPr>
                <w:rFonts w:hAnsi="宋体"/>
                <w:szCs w:val="21"/>
              </w:rPr>
              <w:t>7</w:t>
            </w:r>
          </w:p>
        </w:tc>
        <w:tc>
          <w:tcPr>
            <w:tcW w:w="3388" w:type="dxa"/>
            <w:gridSpan w:val="3"/>
            <w:vAlign w:val="center"/>
          </w:tcPr>
          <w:p>
            <w:pPr>
              <w:jc w:val="center"/>
              <w:rPr>
                <w:rFonts w:hAnsi="宋体"/>
                <w:szCs w:val="21"/>
              </w:rPr>
            </w:pPr>
            <w:r>
              <w:rPr>
                <w:rFonts w:hint="eastAsia" w:hAnsi="宋体"/>
                <w:szCs w:val="21"/>
              </w:rPr>
              <w:t xml:space="preserve">硬度 </w:t>
            </w:r>
            <w:r>
              <w:rPr>
                <w:rFonts w:hAnsi="宋体"/>
                <w:szCs w:val="21"/>
              </w:rPr>
              <w:t xml:space="preserve">          </w:t>
            </w:r>
            <w:r>
              <w:rPr>
                <w:rFonts w:hint="eastAsia" w:hAnsi="宋体"/>
                <w:szCs w:val="21"/>
              </w:rPr>
              <w:t>≥</w:t>
            </w:r>
          </w:p>
        </w:tc>
        <w:tc>
          <w:tcPr>
            <w:tcW w:w="4138" w:type="dxa"/>
            <w:vAlign w:val="center"/>
          </w:tcPr>
          <w:p>
            <w:pPr>
              <w:ind w:firstLine="1680" w:firstLineChars="800"/>
              <w:rPr>
                <w:rFonts w:hAnsi="宋体"/>
                <w:szCs w:val="21"/>
              </w:rPr>
            </w:pPr>
            <w:r>
              <w:rPr>
                <w:rFonts w:hAnsi="宋体"/>
                <w:szCs w:val="21"/>
              </w:rPr>
              <w:t>0.5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713" w:type="dxa"/>
            <w:vAlign w:val="center"/>
          </w:tcPr>
          <w:p>
            <w:pPr>
              <w:jc w:val="center"/>
              <w:rPr>
                <w:rFonts w:hAnsi="宋体"/>
                <w:szCs w:val="21"/>
              </w:rPr>
            </w:pPr>
            <w:r>
              <w:rPr>
                <w:rFonts w:hAnsi="宋体"/>
                <w:szCs w:val="21"/>
              </w:rPr>
              <w:t>8</w:t>
            </w:r>
          </w:p>
        </w:tc>
        <w:tc>
          <w:tcPr>
            <w:tcW w:w="3388" w:type="dxa"/>
            <w:gridSpan w:val="3"/>
            <w:vAlign w:val="center"/>
          </w:tcPr>
          <w:p>
            <w:pPr>
              <w:jc w:val="center"/>
              <w:rPr>
                <w:rFonts w:hAnsi="宋体"/>
                <w:szCs w:val="21"/>
              </w:rPr>
            </w:pPr>
            <w:r>
              <w:rPr>
                <w:rFonts w:hint="eastAsia" w:hAnsi="宋体"/>
                <w:szCs w:val="21"/>
              </w:rPr>
              <w:t>固体含量</w:t>
            </w:r>
            <w:r>
              <w:rPr>
                <w:rFonts w:hAnsi="宋体"/>
                <w:szCs w:val="21"/>
              </w:rPr>
              <w:t xml:space="preserve"> %     </w:t>
            </w:r>
            <w:r>
              <w:rPr>
                <w:rFonts w:hint="eastAsia" w:hAnsi="宋体"/>
                <w:szCs w:val="21"/>
              </w:rPr>
              <w:t>≥</w:t>
            </w:r>
          </w:p>
        </w:tc>
        <w:tc>
          <w:tcPr>
            <w:tcW w:w="4138" w:type="dxa"/>
            <w:vAlign w:val="center"/>
          </w:tcPr>
          <w:p>
            <w:pPr>
              <w:ind w:firstLine="1680" w:firstLineChars="800"/>
              <w:rPr>
                <w:rFonts w:hAnsi="宋体"/>
                <w:szCs w:val="21"/>
              </w:rPr>
            </w:pPr>
            <w:r>
              <w:rPr>
                <w:rFonts w:hAnsi="宋体"/>
                <w:szCs w:val="21"/>
              </w:rPr>
              <w:t>70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713" w:type="dxa"/>
            <w:vAlign w:val="center"/>
          </w:tcPr>
          <w:p>
            <w:pPr>
              <w:jc w:val="center"/>
              <w:rPr>
                <w:rFonts w:hAnsi="宋体"/>
                <w:szCs w:val="21"/>
              </w:rPr>
            </w:pPr>
            <w:r>
              <w:rPr>
                <w:rFonts w:hAnsi="宋体"/>
                <w:szCs w:val="21"/>
              </w:rPr>
              <w:t>9</w:t>
            </w:r>
          </w:p>
        </w:tc>
        <w:tc>
          <w:tcPr>
            <w:tcW w:w="1629" w:type="dxa"/>
            <w:vAlign w:val="center"/>
          </w:tcPr>
          <w:p>
            <w:pPr>
              <w:jc w:val="center"/>
              <w:rPr>
                <w:rFonts w:hAnsi="宋体"/>
                <w:szCs w:val="21"/>
              </w:rPr>
            </w:pPr>
            <w:r>
              <w:rPr>
                <w:rFonts w:hint="eastAsia" w:hAnsi="宋体"/>
                <w:szCs w:val="21"/>
              </w:rPr>
              <w:t>化学、介质</w:t>
            </w:r>
          </w:p>
          <w:p>
            <w:pPr>
              <w:jc w:val="center"/>
              <w:rPr>
                <w:rFonts w:hAnsi="宋体"/>
                <w:szCs w:val="21"/>
              </w:rPr>
            </w:pPr>
            <w:r>
              <w:rPr>
                <w:rFonts w:hint="eastAsia" w:hAnsi="宋体"/>
                <w:szCs w:val="21"/>
              </w:rPr>
              <w:t>浸泡</w:t>
            </w:r>
          </w:p>
        </w:tc>
        <w:tc>
          <w:tcPr>
            <w:tcW w:w="1759" w:type="dxa"/>
            <w:gridSpan w:val="2"/>
            <w:vAlign w:val="center"/>
          </w:tcPr>
          <w:p>
            <w:pPr>
              <w:jc w:val="center"/>
              <w:rPr>
                <w:rFonts w:hAnsi="宋体"/>
                <w:szCs w:val="21"/>
              </w:rPr>
            </w:pPr>
            <w:r>
              <w:rPr>
                <w:rFonts w:hAnsi="宋体"/>
                <w:szCs w:val="21"/>
              </w:rPr>
              <w:t>5%NaOH 72h</w:t>
            </w:r>
          </w:p>
        </w:tc>
        <w:tc>
          <w:tcPr>
            <w:tcW w:w="4138" w:type="dxa"/>
            <w:vAlign w:val="center"/>
          </w:tcPr>
          <w:p>
            <w:pPr>
              <w:jc w:val="center"/>
              <w:rPr>
                <w:rFonts w:hAnsi="宋体"/>
                <w:szCs w:val="21"/>
              </w:rPr>
            </w:pPr>
            <w:r>
              <w:rPr>
                <w:rFonts w:hint="eastAsia" w:hAnsi="宋体"/>
                <w:szCs w:val="21"/>
              </w:rPr>
              <w:t>漆膜完整不脱落</w:t>
            </w:r>
          </w:p>
        </w:tc>
      </w:tr>
    </w:tbl>
    <w:p>
      <w:pPr>
        <w:tabs>
          <w:tab w:val="left" w:pos="567"/>
          <w:tab w:val="left" w:pos="3969"/>
        </w:tabs>
        <w:snapToGrid w:val="0"/>
        <w:spacing w:line="360" w:lineRule="auto"/>
        <w:ind w:firstLine="413" w:firstLineChars="196"/>
        <w:rPr>
          <w:rFonts w:hAnsi="宋体"/>
          <w:b/>
        </w:rPr>
      </w:pPr>
      <w:r>
        <w:rPr>
          <w:rFonts w:hint="eastAsia" w:hAnsi="宋体"/>
          <w:b/>
        </w:rPr>
        <w:t>卖方提供的直埋预制钢管外环氧煤沥青漆应为耐高温环氧煤沥青漆，其耐高温性应≥120℃；</w:t>
      </w:r>
    </w:p>
    <w:p>
      <w:pPr>
        <w:tabs>
          <w:tab w:val="left" w:pos="567"/>
          <w:tab w:val="left" w:pos="3969"/>
        </w:tabs>
        <w:snapToGrid w:val="0"/>
        <w:spacing w:line="360" w:lineRule="auto"/>
        <w:ind w:firstLine="420" w:firstLineChars="200"/>
        <w:rPr>
          <w:rFonts w:hAnsi="宋体"/>
        </w:rPr>
      </w:pPr>
      <w:r>
        <w:rPr>
          <w:rFonts w:hint="eastAsia" w:hAnsi="宋体"/>
        </w:rPr>
        <w:t>为了保证环氧煤沥青的涂装施工质量，在施工中应注意下列各点：</w:t>
      </w:r>
    </w:p>
    <w:p>
      <w:pPr>
        <w:tabs>
          <w:tab w:val="left" w:pos="567"/>
          <w:tab w:val="left" w:pos="3969"/>
        </w:tabs>
        <w:snapToGrid w:val="0"/>
        <w:spacing w:line="360" w:lineRule="auto"/>
        <w:rPr>
          <w:rFonts w:hAnsi="宋体"/>
        </w:rPr>
      </w:pPr>
      <w:r>
        <w:rPr>
          <w:rFonts w:hint="eastAsia" w:hAnsi="宋体"/>
        </w:rPr>
        <w:t>（1）施工时需对被涂表面必须严格进行处理，做到表面无锈蚀、油污、对钢材表面最好进行喷砂处理，达到我国《涂装前钢材表面锈蚀等级和除锈等级表》Sa2.5级，钢铁表面形成的粗糙度，一般应控制在40微米以上。</w:t>
      </w:r>
    </w:p>
    <w:p>
      <w:pPr>
        <w:tabs>
          <w:tab w:val="left" w:pos="567"/>
          <w:tab w:val="left" w:pos="3969"/>
        </w:tabs>
        <w:snapToGrid w:val="0"/>
        <w:spacing w:line="360" w:lineRule="auto"/>
        <w:rPr>
          <w:rFonts w:hAnsi="宋体"/>
        </w:rPr>
      </w:pPr>
      <w:r>
        <w:rPr>
          <w:rFonts w:hint="eastAsia" w:hAnsi="宋体"/>
        </w:rPr>
        <w:t>（2）钢材表面的焊缝应无焊瘤、无棱角、光滑、无毛刺。如焊缝高于2mm，用底漆和滑石粉调成稠度适宜的腻子，在底漆表干后抹在焊缝两侧，并刮平成为过度曲面，避免缠玻璃布时出现空鼓。</w:t>
      </w:r>
    </w:p>
    <w:p>
      <w:pPr>
        <w:tabs>
          <w:tab w:val="left" w:pos="567"/>
          <w:tab w:val="left" w:pos="3969"/>
        </w:tabs>
        <w:snapToGrid w:val="0"/>
        <w:spacing w:line="360" w:lineRule="auto"/>
        <w:rPr>
          <w:rFonts w:hAnsi="宋体"/>
        </w:rPr>
      </w:pPr>
      <w:r>
        <w:rPr>
          <w:rFonts w:hint="eastAsia" w:hAnsi="宋体"/>
        </w:rPr>
        <w:t>（3）除锈后的钢材表面应在24小时内涂装底漆，以免发生二次生锈。</w:t>
      </w:r>
    </w:p>
    <w:p>
      <w:pPr>
        <w:tabs>
          <w:tab w:val="left" w:pos="567"/>
          <w:tab w:val="left" w:pos="3969"/>
        </w:tabs>
        <w:snapToGrid w:val="0"/>
        <w:spacing w:line="360" w:lineRule="auto"/>
        <w:rPr>
          <w:rFonts w:hAnsi="宋体"/>
        </w:rPr>
      </w:pPr>
      <w:r>
        <w:rPr>
          <w:rFonts w:hint="eastAsia" w:hAnsi="宋体"/>
        </w:rPr>
        <w:t>（4）环氧煤沥青防腐涂料与聚酯环氧煤沥青防腐涂料为双组份包装，甲组份为漆料，乙组份为固化剂，使用时按重量比配制，比例为1：1；两种组分混合搅匀后熟化时10～30分钟。</w:t>
      </w:r>
    </w:p>
    <w:p>
      <w:pPr>
        <w:tabs>
          <w:tab w:val="left" w:pos="567"/>
          <w:tab w:val="left" w:pos="3969"/>
        </w:tabs>
        <w:snapToGrid w:val="0"/>
        <w:spacing w:line="360" w:lineRule="auto"/>
        <w:rPr>
          <w:rFonts w:hAnsi="宋体"/>
        </w:rPr>
      </w:pPr>
      <w:r>
        <w:rPr>
          <w:rFonts w:hint="eastAsia" w:hAnsi="宋体"/>
        </w:rPr>
        <w:t>（5）环氧煤沥青防腐涂料与聚酯环氧煤沥青防腐涂料，为化学反应性涂料，所以使用前两种组分必须按规定的重量比例称量配比，混合搅匀按规定时间进行熟化后才能施工，经熟化后的涂料应在8小时内用完。</w:t>
      </w:r>
    </w:p>
    <w:p>
      <w:pPr>
        <w:tabs>
          <w:tab w:val="left" w:pos="567"/>
          <w:tab w:val="left" w:pos="3969"/>
        </w:tabs>
        <w:snapToGrid w:val="0"/>
        <w:spacing w:line="360" w:lineRule="auto"/>
        <w:rPr>
          <w:rFonts w:hAnsi="宋体"/>
        </w:rPr>
      </w:pPr>
      <w:r>
        <w:rPr>
          <w:rFonts w:hint="eastAsia" w:hAnsi="宋体"/>
        </w:rPr>
        <w:t>（6）环氧煤沥青防腐涂料与环氧聚酯煤沥青防腐涂料中溶剂含量低，可厚涂施工，以不流淌为宜，配制时一般不必加入稀释剂，施工中若环境温度偏低，涂料粘度较大时，可适当加入稀释剂，但一般不超过涂料量5%，并适当增加固化剂用量，以免影响涂层质量。</w:t>
      </w:r>
    </w:p>
    <w:p>
      <w:pPr>
        <w:tabs>
          <w:tab w:val="left" w:pos="567"/>
          <w:tab w:val="left" w:pos="3969"/>
        </w:tabs>
        <w:snapToGrid w:val="0"/>
        <w:spacing w:line="360" w:lineRule="auto"/>
        <w:rPr>
          <w:rFonts w:hAnsi="宋体"/>
        </w:rPr>
      </w:pPr>
      <w:r>
        <w:rPr>
          <w:rFonts w:hint="eastAsia" w:hAnsi="宋体"/>
        </w:rPr>
        <w:t>（7）环氧煤沥青防腐涂料与聚酯环氧煤沥青防腐涂料施工，气温应在5℃~38℃之间，施工前，应注意天气和温度的变化，雨、雾、雪天或相对湿度大于85%不可施工。</w:t>
      </w:r>
    </w:p>
    <w:p>
      <w:pPr>
        <w:tabs>
          <w:tab w:val="left" w:pos="567"/>
          <w:tab w:val="left" w:pos="3969"/>
        </w:tabs>
        <w:snapToGrid w:val="0"/>
        <w:spacing w:line="360" w:lineRule="auto"/>
        <w:rPr>
          <w:rFonts w:hAnsi="宋体"/>
        </w:rPr>
      </w:pPr>
      <w:r>
        <w:rPr>
          <w:rFonts w:hint="eastAsia" w:hAnsi="宋体"/>
        </w:rPr>
        <w:t>（8）管道施工表面处理后的钢管先涂刷底漆，表干或打腻子后涂面漆。涂刷要均匀，不得漏涂。涂第一道漆后即可缠绕玻璃布。玻璃布在拉紧，表面平整，无皱褶和鼓泡，压边宽度为20～25mm，布头搭接长度为100～150mm，玻璃布缠绕后就涂下道面漆，要求漆量饱满，玻璃布所有网眼灌满涂料。根据管道不同的图层结构，依上述一道面漆一层玻璃布的顺序要求进行，有两层玻璃布时，布的缠绕方式应相反。</w:t>
      </w:r>
    </w:p>
    <w:p>
      <w:pPr>
        <w:tabs>
          <w:tab w:val="left" w:pos="567"/>
          <w:tab w:val="left" w:pos="3969"/>
        </w:tabs>
        <w:snapToGrid w:val="0"/>
        <w:spacing w:line="360" w:lineRule="auto"/>
        <w:rPr>
          <w:rFonts w:hAnsi="宋体"/>
        </w:rPr>
      </w:pPr>
      <w:r>
        <w:rPr>
          <w:rFonts w:hint="eastAsia" w:hAnsi="宋体"/>
        </w:rPr>
        <w:t>（9）补口：补口部分的表面处理应达到St3级。管面有水份应烘干。补口按管体防腐层结构要求的顺序进行。补口防腐层和管体防腐层的搭接应不少于100mm，搭接处应打毛、擦净、无污物。现场补口所有材料由投标方提供。</w:t>
      </w:r>
    </w:p>
    <w:p>
      <w:pPr>
        <w:tabs>
          <w:tab w:val="left" w:pos="567"/>
          <w:tab w:val="left" w:pos="3969"/>
        </w:tabs>
        <w:snapToGrid w:val="0"/>
        <w:spacing w:line="360" w:lineRule="auto"/>
        <w:rPr>
          <w:rFonts w:hAnsi="宋体"/>
        </w:rPr>
      </w:pPr>
      <w:r>
        <w:rPr>
          <w:rFonts w:hint="eastAsia" w:hAnsi="宋体"/>
        </w:rPr>
        <w:t>（10）补伤首先铲除已损伤的防腐层：如未露铁，只需补涂面漆和贴玻璃布，如已露铁按补口的要求进行表面处理，再按管体防腐要求的顺序进行补伤。</w:t>
      </w:r>
    </w:p>
    <w:p>
      <w:pPr>
        <w:tabs>
          <w:tab w:val="left" w:pos="567"/>
          <w:tab w:val="left" w:pos="3969"/>
        </w:tabs>
        <w:snapToGrid w:val="0"/>
        <w:spacing w:line="360" w:lineRule="auto"/>
        <w:rPr>
          <w:rFonts w:hAnsi="宋体"/>
        </w:rPr>
      </w:pPr>
      <w:r>
        <w:rPr>
          <w:rFonts w:hint="eastAsia" w:hAnsi="宋体"/>
        </w:rPr>
        <w:t>（11）环氧煤沥青，聚酯煤沥青管道防腐涂层的检查：</w:t>
      </w:r>
    </w:p>
    <w:p>
      <w:pPr>
        <w:tabs>
          <w:tab w:val="left" w:pos="567"/>
          <w:tab w:val="left" w:pos="3969"/>
        </w:tabs>
        <w:snapToGrid w:val="0"/>
        <w:spacing w:line="360" w:lineRule="auto"/>
        <w:rPr>
          <w:rFonts w:hAnsi="宋体"/>
        </w:rPr>
      </w:pPr>
      <w:r>
        <w:rPr>
          <w:rFonts w:hint="eastAsia" w:hAnsi="宋体"/>
        </w:rPr>
        <w:t>a、防腐层干性：表干——用手轻触不粘手；实干——用手指推不移动；固化——用手指甲重压不留痕。</w:t>
      </w:r>
    </w:p>
    <w:p>
      <w:pPr>
        <w:tabs>
          <w:tab w:val="left" w:pos="567"/>
          <w:tab w:val="left" w:pos="3969"/>
        </w:tabs>
        <w:snapToGrid w:val="0"/>
        <w:spacing w:line="360" w:lineRule="auto"/>
        <w:rPr>
          <w:rFonts w:hAnsi="宋体"/>
        </w:rPr>
      </w:pPr>
      <w:r>
        <w:rPr>
          <w:rFonts w:hint="eastAsia" w:hAnsi="宋体"/>
        </w:rPr>
        <w:t>b、外观：对涂敷过的管道要逐根检查，防腐层表面平整，无褶皱和鼓气，玻璃布网孔为面漆所灌满。</w:t>
      </w:r>
    </w:p>
    <w:p>
      <w:pPr>
        <w:tabs>
          <w:tab w:val="left" w:pos="567"/>
          <w:tab w:val="left" w:pos="3969"/>
        </w:tabs>
        <w:snapToGrid w:val="0"/>
        <w:spacing w:line="360" w:lineRule="auto"/>
        <w:rPr>
          <w:rFonts w:hAnsi="宋体"/>
        </w:rPr>
      </w:pPr>
      <w:r>
        <w:rPr>
          <w:rFonts w:hint="eastAsia" w:hAnsi="宋体"/>
        </w:rPr>
        <w:t>c、厚度：用测厚仪进行检测，以防腐层等级所规定的厚度为标准。</w:t>
      </w:r>
    </w:p>
    <w:p>
      <w:pPr>
        <w:tabs>
          <w:tab w:val="left" w:pos="567"/>
          <w:tab w:val="left" w:pos="3969"/>
        </w:tabs>
        <w:snapToGrid w:val="0"/>
        <w:spacing w:line="360" w:lineRule="auto"/>
        <w:rPr>
          <w:rFonts w:hAnsi="宋体"/>
        </w:rPr>
      </w:pPr>
      <w:r>
        <w:rPr>
          <w:rFonts w:hint="eastAsia" w:hAnsi="宋体"/>
        </w:rPr>
        <w:t>d、粘附力：防腐层25℃常温固化7天后，用小刀割开舌形切口，用力撕切口处的涂层，不易撕开，破坏处管面仍为漆膜所覆盖而应不少于50%。</w:t>
      </w:r>
    </w:p>
    <w:p>
      <w:pPr>
        <w:tabs>
          <w:tab w:val="left" w:pos="567"/>
          <w:tab w:val="left" w:pos="3969"/>
        </w:tabs>
        <w:snapToGrid w:val="0"/>
        <w:spacing w:line="360" w:lineRule="auto"/>
        <w:rPr>
          <w:rFonts w:hAnsi="宋体"/>
        </w:rPr>
      </w:pPr>
      <w:r>
        <w:rPr>
          <w:rFonts w:hint="eastAsia" w:hAnsi="宋体"/>
        </w:rPr>
        <w:t>e、粘紧程度：用小锤轻轻敲打图衬层，听有无空鼓声（有声为浮起），检查面不小于20%。</w:t>
      </w:r>
    </w:p>
    <w:p>
      <w:pPr>
        <w:tabs>
          <w:tab w:val="left" w:pos="567"/>
          <w:tab w:val="left" w:pos="3969"/>
        </w:tabs>
        <w:snapToGrid w:val="0"/>
        <w:spacing w:line="360" w:lineRule="auto"/>
        <w:rPr>
          <w:rFonts w:hAnsi="宋体"/>
        </w:rPr>
      </w:pPr>
      <w:r>
        <w:rPr>
          <w:rFonts w:hint="eastAsia" w:hAnsi="宋体"/>
        </w:rPr>
        <w:t>（12）环氧煤沥青防腐涂层与聚酯环氧煤沥青防腐涂层管道未完全固化不得进行埋管施工，在运输、装卸、布管、下沟等过程中，必须用橡胶垫和橡胶吊带，并有防止机械碰撞的措施，以免涂层损伤。</w:t>
      </w:r>
    </w:p>
    <w:p>
      <w:pPr>
        <w:tabs>
          <w:tab w:val="left" w:pos="567"/>
          <w:tab w:val="left" w:pos="3969"/>
        </w:tabs>
        <w:snapToGrid w:val="0"/>
        <w:spacing w:line="360" w:lineRule="auto"/>
        <w:rPr>
          <w:rFonts w:hAnsi="宋体"/>
        </w:rPr>
      </w:pPr>
      <w:r>
        <w:rPr>
          <w:rFonts w:hint="eastAsia" w:hAnsi="宋体"/>
        </w:rPr>
        <w:t>（13）每次施工用的用具上粘有涂料，必须在固化前用稀释剂洗净，稀释剂可以回收用于调漆。</w:t>
      </w:r>
    </w:p>
    <w:p>
      <w:pPr>
        <w:tabs>
          <w:tab w:val="left" w:pos="567"/>
          <w:tab w:val="left" w:pos="3969"/>
        </w:tabs>
        <w:snapToGrid w:val="0"/>
        <w:spacing w:line="360" w:lineRule="auto"/>
        <w:rPr>
          <w:rFonts w:hAnsi="宋体"/>
          <w:b/>
        </w:rPr>
      </w:pPr>
      <w:r>
        <w:rPr>
          <w:rFonts w:hint="eastAsia" w:hAnsi="宋体"/>
        </w:rPr>
        <w:t>4.3埋地蒸汽管道的保温结构形式需根据不同的管径采用不同的保温结构，具体保温结构需按照以下要求进行加工和制作；</w:t>
      </w:r>
      <w:r>
        <w:rPr>
          <w:rFonts w:hint="eastAsia" w:hAnsi="宋体"/>
          <w:b/>
        </w:rPr>
        <w:t>直埋预制钢管中保温施工每层每块保温棉板（棉板宽1.2m）复段至少二道打包带（钢带），其间距不大于200mm，打包带材质为Q235A（或0.2mm不锈钢带），宽度10mm，厚度不得低于1mm；</w:t>
      </w:r>
    </w:p>
    <w:p>
      <w:pPr>
        <w:tabs>
          <w:tab w:val="left" w:pos="567"/>
          <w:tab w:val="left" w:pos="3969"/>
        </w:tabs>
        <w:snapToGrid w:val="0"/>
        <w:spacing w:line="360" w:lineRule="auto"/>
        <w:rPr>
          <w:rFonts w:hAnsi="宋体"/>
          <w:bCs/>
        </w:rPr>
      </w:pPr>
      <w:r>
        <w:rPr>
          <w:rFonts w:hint="eastAsia" w:hAnsi="宋体"/>
          <w:bCs/>
        </w:rPr>
        <w:t>4.3.1 保温结构：详见报价表</w:t>
      </w:r>
    </w:p>
    <w:p>
      <w:pPr>
        <w:rPr>
          <w:szCs w:val="22"/>
        </w:rPr>
      </w:pPr>
      <w:r>
        <w:rPr>
          <w:rFonts w:hint="eastAsia" w:hAnsi="宋体"/>
        </w:rPr>
        <w:t>4.3.2</w:t>
      </w:r>
      <w:r>
        <w:rPr>
          <w:rFonts w:hint="eastAsia"/>
        </w:rPr>
        <w:t>长输热网专用高温玻璃棉主要技术要求为：</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09"/>
        <w:gridCol w:w="3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2"/>
              <w:jc w:val="center"/>
              <w:rPr>
                <w:rFonts w:hAnsi="宋体"/>
                <w:b/>
                <w:szCs w:val="21"/>
              </w:rPr>
            </w:pPr>
            <w:r>
              <w:rPr>
                <w:rFonts w:hint="eastAsia" w:hAnsi="宋体"/>
                <w:b/>
                <w:szCs w:val="21"/>
              </w:rPr>
              <w:t>项目</w:t>
            </w:r>
          </w:p>
        </w:tc>
        <w:tc>
          <w:tcPr>
            <w:tcW w:w="3572" w:type="dxa"/>
            <w:vAlign w:val="center"/>
          </w:tcPr>
          <w:p>
            <w:pPr>
              <w:ind w:firstLine="422"/>
              <w:jc w:val="center"/>
              <w:rPr>
                <w:rFonts w:hAnsi="宋体"/>
                <w:b/>
                <w:szCs w:val="21"/>
              </w:rPr>
            </w:pPr>
            <w:r>
              <w:rPr>
                <w:rFonts w:hint="eastAsia" w:hAnsi="宋体"/>
                <w:b/>
                <w:szCs w:val="21"/>
              </w:rPr>
              <w:t>设计要求值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jc w:val="center"/>
        </w:trPr>
        <w:tc>
          <w:tcPr>
            <w:tcW w:w="3809" w:type="dxa"/>
            <w:vAlign w:val="center"/>
          </w:tcPr>
          <w:p>
            <w:pPr>
              <w:ind w:firstLine="420"/>
              <w:jc w:val="center"/>
              <w:rPr>
                <w:rFonts w:hAnsi="宋体" w:cs="宋体"/>
                <w:szCs w:val="21"/>
              </w:rPr>
            </w:pPr>
            <w:r>
              <w:rPr>
                <w:rFonts w:hint="eastAsia" w:hAnsi="宋体" w:cs="Arial"/>
                <w:sz w:val="28"/>
                <w:szCs w:val="28"/>
              </w:rPr>
              <w:t>导热系数λ，W/m·K</w:t>
            </w:r>
          </w:p>
        </w:tc>
        <w:tc>
          <w:tcPr>
            <w:tcW w:w="3572" w:type="dxa"/>
            <w:vAlign w:val="center"/>
          </w:tcPr>
          <w:p>
            <w:pPr>
              <w:ind w:firstLine="840" w:firstLineChars="400"/>
              <w:rPr>
                <w:rFonts w:hAnsi="宋体" w:cs="Arial"/>
                <w:szCs w:val="21"/>
              </w:rPr>
            </w:pPr>
            <w:r>
              <w:rPr>
                <w:rFonts w:hint="eastAsia" w:hAnsi="宋体" w:cs="Arial"/>
                <w:szCs w:val="21"/>
              </w:rPr>
              <w:t>≤0.032  (常温)</w:t>
            </w:r>
          </w:p>
          <w:p>
            <w:pPr>
              <w:ind w:firstLine="420"/>
              <w:jc w:val="center"/>
              <w:rPr>
                <w:rFonts w:hAnsi="宋体" w:cs="宋体"/>
                <w:szCs w:val="21"/>
              </w:rPr>
            </w:pPr>
            <w:r>
              <w:rPr>
                <w:rFonts w:hint="eastAsia" w:hAnsi="宋体" w:cs="Arial"/>
                <w:szCs w:val="21"/>
              </w:rPr>
              <w:t>≤0.038  (平均温度70℃)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jc w:val="center"/>
        </w:trPr>
        <w:tc>
          <w:tcPr>
            <w:tcW w:w="3809" w:type="dxa"/>
            <w:vAlign w:val="center"/>
          </w:tcPr>
          <w:p>
            <w:pPr>
              <w:ind w:firstLine="420"/>
              <w:jc w:val="center"/>
              <w:rPr>
                <w:rFonts w:hAnsi="宋体" w:cs="Arial"/>
                <w:szCs w:val="21"/>
              </w:rPr>
            </w:pPr>
            <w:r>
              <w:rPr>
                <w:rFonts w:hint="eastAsia" w:hAnsi="宋体" w:cs="Arial"/>
                <w:szCs w:val="21"/>
              </w:rPr>
              <w:t>平均直径.μm</w:t>
            </w:r>
          </w:p>
        </w:tc>
        <w:tc>
          <w:tcPr>
            <w:tcW w:w="3572" w:type="dxa"/>
            <w:vAlign w:val="center"/>
          </w:tcPr>
          <w:p>
            <w:pPr>
              <w:ind w:firstLine="420"/>
              <w:jc w:val="center"/>
              <w:rPr>
                <w:rFonts w:hAnsi="宋体" w:cs="Arial"/>
                <w:szCs w:val="21"/>
              </w:rPr>
            </w:pPr>
            <w:r>
              <w:rPr>
                <w:rFonts w:hint="eastAsia" w:hAnsi="宋体" w:cs="Arial"/>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exact"/>
          <w:jc w:val="center"/>
        </w:trPr>
        <w:tc>
          <w:tcPr>
            <w:tcW w:w="3809" w:type="dxa"/>
            <w:vAlign w:val="center"/>
          </w:tcPr>
          <w:p>
            <w:pPr>
              <w:ind w:firstLine="420"/>
              <w:jc w:val="center"/>
              <w:rPr>
                <w:rFonts w:hAnsi="宋体" w:cs="Arial"/>
                <w:szCs w:val="21"/>
              </w:rPr>
            </w:pPr>
            <w:r>
              <w:rPr>
                <w:rFonts w:hint="eastAsia" w:hAnsi="宋体" w:cs="Arial"/>
                <w:szCs w:val="21"/>
              </w:rPr>
              <w:t>纤维长度,cm</w:t>
            </w:r>
          </w:p>
        </w:tc>
        <w:tc>
          <w:tcPr>
            <w:tcW w:w="3572" w:type="dxa"/>
            <w:vAlign w:val="center"/>
          </w:tcPr>
          <w:p>
            <w:pPr>
              <w:ind w:firstLine="420"/>
              <w:jc w:val="center"/>
              <w:rPr>
                <w:rFonts w:hAnsi="宋体" w:cs="Arial"/>
                <w:szCs w:val="21"/>
              </w:rPr>
            </w:pPr>
            <w:r>
              <w:rPr>
                <w:rFonts w:hint="eastAsia" w:hAnsi="宋体" w:cs="Arial"/>
                <w:szCs w:val="21"/>
              </w:rPr>
              <w:t>15～25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exact"/>
          <w:jc w:val="center"/>
        </w:trPr>
        <w:tc>
          <w:tcPr>
            <w:tcW w:w="3809" w:type="dxa"/>
            <w:vAlign w:val="center"/>
          </w:tcPr>
          <w:p>
            <w:pPr>
              <w:ind w:firstLine="420"/>
              <w:jc w:val="center"/>
              <w:rPr>
                <w:rFonts w:hAnsi="宋体" w:cs="Arial"/>
                <w:szCs w:val="21"/>
              </w:rPr>
            </w:pPr>
            <w:r>
              <w:rPr>
                <w:rFonts w:hint="eastAsia" w:hAnsi="宋体" w:cs="Arial"/>
                <w:szCs w:val="21"/>
              </w:rPr>
              <w:t>密度,kg/m</w:t>
            </w:r>
            <w:r>
              <w:rPr>
                <w:rFonts w:hint="eastAsia" w:hAnsi="宋体" w:cs="Arial"/>
                <w:szCs w:val="21"/>
                <w:vertAlign w:val="superscript"/>
              </w:rPr>
              <w:t>3</w:t>
            </w:r>
          </w:p>
        </w:tc>
        <w:tc>
          <w:tcPr>
            <w:tcW w:w="3572" w:type="dxa"/>
            <w:vAlign w:val="center"/>
          </w:tcPr>
          <w:p>
            <w:pPr>
              <w:ind w:firstLine="420"/>
              <w:jc w:val="center"/>
              <w:rPr>
                <w:rFonts w:hAnsi="宋体" w:cs="Arial"/>
                <w:szCs w:val="21"/>
              </w:rPr>
            </w:pPr>
            <w:r>
              <w:rPr>
                <w:rFonts w:hint="eastAsia" w:hAnsi="宋体" w:cs="Arial"/>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3809" w:type="dxa"/>
            <w:vAlign w:val="center"/>
          </w:tcPr>
          <w:p>
            <w:pPr>
              <w:ind w:firstLine="420"/>
              <w:jc w:val="center"/>
              <w:rPr>
                <w:rFonts w:hAnsi="宋体" w:cs="Arial"/>
                <w:szCs w:val="21"/>
              </w:rPr>
            </w:pPr>
            <w:r>
              <w:rPr>
                <w:rFonts w:hint="eastAsia" w:hAnsi="宋体" w:cs="Arial"/>
                <w:szCs w:val="21"/>
              </w:rPr>
              <w:t>最高使用温度,℃</w:t>
            </w:r>
          </w:p>
        </w:tc>
        <w:tc>
          <w:tcPr>
            <w:tcW w:w="3572" w:type="dxa"/>
            <w:vAlign w:val="center"/>
          </w:tcPr>
          <w:p>
            <w:pPr>
              <w:ind w:firstLine="420"/>
              <w:jc w:val="center"/>
              <w:rPr>
                <w:rFonts w:hAnsi="宋体" w:cs="Arial"/>
              </w:rPr>
            </w:pPr>
            <w:r>
              <w:rPr>
                <w:rFonts w:hint="eastAsia" w:hAnsi="宋体" w:cs="Arial"/>
                <w:szCs w:val="21"/>
              </w:rPr>
              <w:t>538(热荷重收缩温度满足GB/T13350的要求)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0"/>
              <w:jc w:val="center"/>
              <w:rPr>
                <w:rFonts w:hAnsi="宋体" w:cs="Arial"/>
                <w:szCs w:val="21"/>
              </w:rPr>
            </w:pPr>
            <w:r>
              <w:rPr>
                <w:rFonts w:hint="eastAsia" w:hAnsi="宋体" w:cs="Arial"/>
                <w:szCs w:val="21"/>
              </w:rPr>
              <w:t>渣球含量(粒径大于0.25mm)</w:t>
            </w:r>
          </w:p>
        </w:tc>
        <w:tc>
          <w:tcPr>
            <w:tcW w:w="3572" w:type="dxa"/>
            <w:vAlign w:val="center"/>
          </w:tcPr>
          <w:p>
            <w:pPr>
              <w:ind w:firstLine="420"/>
              <w:jc w:val="center"/>
              <w:rPr>
                <w:rFonts w:hAnsi="宋体" w:cs="宋体"/>
                <w:szCs w:val="21"/>
              </w:rPr>
            </w:pPr>
            <w:r>
              <w:rPr>
                <w:rFonts w:hint="eastAsia" w:hAnsi="宋体" w:cs="宋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exact"/>
          <w:jc w:val="center"/>
        </w:trPr>
        <w:tc>
          <w:tcPr>
            <w:tcW w:w="3809" w:type="dxa"/>
            <w:vAlign w:val="center"/>
          </w:tcPr>
          <w:p>
            <w:pPr>
              <w:ind w:firstLine="420"/>
              <w:jc w:val="center"/>
              <w:rPr>
                <w:rFonts w:hAnsi="宋体" w:cs="宋体"/>
                <w:szCs w:val="21"/>
              </w:rPr>
            </w:pPr>
            <w:r>
              <w:rPr>
                <w:rFonts w:hint="eastAsia" w:hAnsi="宋体" w:cs="Arial"/>
                <w:szCs w:val="21"/>
              </w:rPr>
              <w:t>耐水性试验（100℃，96h后导热系数、容重、厚度变化率）</w:t>
            </w:r>
          </w:p>
        </w:tc>
        <w:tc>
          <w:tcPr>
            <w:tcW w:w="3572" w:type="dxa"/>
            <w:vAlign w:val="center"/>
          </w:tcPr>
          <w:p>
            <w:pPr>
              <w:ind w:firstLine="420"/>
              <w:jc w:val="center"/>
              <w:rPr>
                <w:rFonts w:hAnsi="宋体" w:cs="宋体"/>
                <w:szCs w:val="21"/>
              </w:rPr>
            </w:pPr>
            <w:r>
              <w:rPr>
                <w:rFonts w:hint="eastAsia" w:hAnsi="宋体" w:cs="Arial"/>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3809" w:type="dxa"/>
            <w:vAlign w:val="center"/>
          </w:tcPr>
          <w:p>
            <w:pPr>
              <w:ind w:firstLine="420"/>
              <w:jc w:val="center"/>
              <w:rPr>
                <w:rFonts w:hAnsi="宋体" w:cs="宋体"/>
                <w:szCs w:val="21"/>
              </w:rPr>
            </w:pPr>
            <w:r>
              <w:rPr>
                <w:rFonts w:hint="eastAsia" w:hAnsi="宋体" w:cs="Arial"/>
                <w:szCs w:val="21"/>
              </w:rPr>
              <w:t>含水率</w:t>
            </w:r>
          </w:p>
        </w:tc>
        <w:tc>
          <w:tcPr>
            <w:tcW w:w="3572" w:type="dxa"/>
            <w:vAlign w:val="center"/>
          </w:tcPr>
          <w:p>
            <w:pPr>
              <w:ind w:firstLine="420"/>
              <w:jc w:val="center"/>
              <w:rPr>
                <w:rFonts w:hAnsi="宋体" w:cs="宋体"/>
                <w:szCs w:val="21"/>
              </w:rPr>
            </w:pPr>
            <w:r>
              <w:rPr>
                <w:rFonts w:hint="eastAsia" w:hAnsi="宋体" w:cs="Arial"/>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0"/>
              <w:jc w:val="center"/>
              <w:rPr>
                <w:rFonts w:hAnsi="宋体" w:cs="Arial"/>
                <w:szCs w:val="21"/>
              </w:rPr>
            </w:pPr>
            <w:r>
              <w:rPr>
                <w:rFonts w:hint="eastAsia" w:hAnsi="宋体" w:cs="Arial"/>
                <w:szCs w:val="21"/>
              </w:rPr>
              <w:t>对管道腐蚀性</w:t>
            </w:r>
          </w:p>
        </w:tc>
        <w:tc>
          <w:tcPr>
            <w:tcW w:w="3572" w:type="dxa"/>
            <w:vAlign w:val="center"/>
          </w:tcPr>
          <w:p>
            <w:pPr>
              <w:ind w:firstLine="420"/>
              <w:jc w:val="center"/>
              <w:rPr>
                <w:rFonts w:hAnsi="宋体" w:cs="Arial"/>
                <w:szCs w:val="21"/>
              </w:rPr>
            </w:pPr>
            <w:r>
              <w:rPr>
                <w:rFonts w:hint="eastAsia" w:hAnsi="宋体" w:cs="Arial"/>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0"/>
              <w:jc w:val="center"/>
              <w:rPr>
                <w:rFonts w:hAnsi="宋体" w:cs="Arial"/>
                <w:szCs w:val="21"/>
              </w:rPr>
            </w:pPr>
            <w:r>
              <w:rPr>
                <w:rFonts w:hint="eastAsia" w:hAnsi="宋体" w:cs="Arial"/>
                <w:szCs w:val="21"/>
              </w:rPr>
              <w:t>Cl</w:t>
            </w:r>
            <w:r>
              <w:rPr>
                <w:rFonts w:hint="eastAsia" w:hAnsi="宋体" w:cs="Arial"/>
                <w:szCs w:val="21"/>
                <w:vertAlign w:val="superscript"/>
              </w:rPr>
              <w:t>-</w:t>
            </w:r>
          </w:p>
        </w:tc>
        <w:tc>
          <w:tcPr>
            <w:tcW w:w="3572" w:type="dxa"/>
            <w:vAlign w:val="center"/>
          </w:tcPr>
          <w:p>
            <w:pPr>
              <w:ind w:firstLine="420"/>
              <w:jc w:val="center"/>
              <w:rPr>
                <w:rFonts w:hAnsi="宋体" w:cs="Arial"/>
                <w:szCs w:val="21"/>
              </w:rPr>
            </w:pPr>
            <w:r>
              <w:rPr>
                <w:rFonts w:hint="eastAsia" w:hAnsi="宋体" w:cs="Arial"/>
                <w:szCs w:val="21"/>
              </w:rPr>
              <w:t>符合GB/T13350的要求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0"/>
              <w:jc w:val="center"/>
              <w:rPr>
                <w:rFonts w:hAnsi="宋体" w:cs="Arial"/>
                <w:szCs w:val="21"/>
              </w:rPr>
            </w:pPr>
            <w:r>
              <w:rPr>
                <w:rFonts w:hint="eastAsia" w:hAnsi="宋体" w:cs="Arial"/>
              </w:rPr>
              <w:t>燃烧性能</w:t>
            </w:r>
          </w:p>
        </w:tc>
        <w:tc>
          <w:tcPr>
            <w:tcW w:w="3572" w:type="dxa"/>
            <w:vAlign w:val="center"/>
          </w:tcPr>
          <w:p>
            <w:pPr>
              <w:ind w:firstLine="420"/>
              <w:jc w:val="center"/>
              <w:rPr>
                <w:rFonts w:hAnsi="宋体" w:cs="Arial"/>
                <w:szCs w:val="21"/>
              </w:rPr>
            </w:pPr>
            <w:r>
              <w:rPr>
                <w:rFonts w:hint="eastAsia" w:hAnsi="宋体" w:cs="Arial"/>
              </w:rPr>
              <w:t>A级不燃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vAlign w:val="center"/>
          </w:tcPr>
          <w:p>
            <w:pPr>
              <w:ind w:firstLine="420"/>
              <w:jc w:val="center"/>
              <w:rPr>
                <w:rFonts w:hAnsi="宋体" w:cs="Arial"/>
                <w:szCs w:val="21"/>
              </w:rPr>
            </w:pPr>
            <w:r>
              <w:rPr>
                <w:rFonts w:hint="eastAsia" w:hAnsi="宋体" w:cs="Arial"/>
                <w:szCs w:val="21"/>
              </w:rPr>
              <w:t>有机物含量</w:t>
            </w:r>
          </w:p>
        </w:tc>
        <w:tc>
          <w:tcPr>
            <w:tcW w:w="3572" w:type="dxa"/>
            <w:vAlign w:val="center"/>
          </w:tcPr>
          <w:p>
            <w:pPr>
              <w:ind w:firstLine="420"/>
              <w:jc w:val="center"/>
              <w:rPr>
                <w:rFonts w:hAnsi="宋体" w:cs="Arial"/>
                <w:szCs w:val="21"/>
              </w:rPr>
            </w:pPr>
            <w:r>
              <w:rPr>
                <w:rFonts w:hint="eastAsia" w:hAnsi="宋体" w:cs="Arial"/>
                <w:szCs w:val="21"/>
              </w:rPr>
              <w:t>≤3%</w:t>
            </w:r>
          </w:p>
        </w:tc>
      </w:tr>
    </w:tbl>
    <w:p>
      <w:pPr>
        <w:pStyle w:val="7"/>
        <w:tabs>
          <w:tab w:val="left" w:pos="0"/>
        </w:tabs>
        <w:spacing w:line="360" w:lineRule="auto"/>
        <w:ind w:right="21" w:rightChars="10" w:firstLine="480" w:firstLineChars="200"/>
        <w:rPr>
          <w:rFonts w:ascii="宋体"/>
          <w:sz w:val="24"/>
        </w:rPr>
      </w:pPr>
      <w:r>
        <w:rPr>
          <w:rFonts w:hint="eastAsia" w:ascii="宋体" w:hAnsi="宋体" w:cs="Arial"/>
          <w:sz w:val="24"/>
          <w:szCs w:val="24"/>
        </w:rPr>
        <w:t>导热系数方程式：λ=2.9071×10</w:t>
      </w:r>
      <w:r>
        <w:rPr>
          <w:rFonts w:hint="eastAsia" w:ascii="宋体" w:hAnsi="宋体" w:cs="Arial"/>
          <w:sz w:val="24"/>
          <w:szCs w:val="24"/>
          <w:vertAlign w:val="superscript"/>
        </w:rPr>
        <w:t>-2</w:t>
      </w:r>
      <w:r>
        <w:rPr>
          <w:rFonts w:hint="eastAsia" w:ascii="宋体" w:hAnsi="宋体" w:cs="Arial"/>
          <w:sz w:val="24"/>
          <w:szCs w:val="24"/>
        </w:rPr>
        <w:t>+ 1.1022×10</w:t>
      </w:r>
      <w:r>
        <w:rPr>
          <w:rFonts w:hint="eastAsia" w:ascii="宋体" w:hAnsi="宋体" w:cs="Arial"/>
          <w:sz w:val="24"/>
          <w:szCs w:val="24"/>
          <w:vertAlign w:val="superscript"/>
        </w:rPr>
        <w:t>-4</w:t>
      </w:r>
      <w:r>
        <w:rPr>
          <w:rFonts w:hint="eastAsia" w:ascii="宋体" w:hAnsi="宋体" w:cs="Arial"/>
          <w:sz w:val="24"/>
          <w:szCs w:val="24"/>
        </w:rPr>
        <w:t>T +7.65229×10</w:t>
      </w:r>
      <w:r>
        <w:rPr>
          <w:rFonts w:hint="eastAsia" w:ascii="宋体" w:hAnsi="宋体" w:cs="Arial"/>
          <w:sz w:val="24"/>
          <w:szCs w:val="24"/>
          <w:vertAlign w:val="superscript"/>
        </w:rPr>
        <w:t>-10</w:t>
      </w:r>
      <w:r>
        <w:rPr>
          <w:rFonts w:hint="eastAsia" w:ascii="宋体" w:hAnsi="宋体" w:cs="Arial"/>
          <w:sz w:val="24"/>
          <w:szCs w:val="24"/>
        </w:rPr>
        <w:t xml:space="preserve"> T</w:t>
      </w:r>
      <w:r>
        <w:rPr>
          <w:rFonts w:hint="eastAsia" w:ascii="宋体" w:hAnsi="宋体" w:cs="Arial"/>
          <w:sz w:val="24"/>
          <w:szCs w:val="24"/>
          <w:vertAlign w:val="superscript"/>
        </w:rPr>
        <w:t>3</w:t>
      </w:r>
      <w:r>
        <w:rPr>
          <w:rFonts w:hint="eastAsia" w:ascii="宋体" w:hAnsi="宋体" w:cs="Arial"/>
          <w:sz w:val="24"/>
          <w:szCs w:val="24"/>
        </w:rPr>
        <w:t xml:space="preserve"> (平均温度=介质温度+保温后表面温度)/2</w:t>
      </w:r>
    </w:p>
    <w:p>
      <w:pPr>
        <w:numPr>
          <w:ilvl w:val="2"/>
          <w:numId w:val="1"/>
        </w:numPr>
        <w:spacing w:line="360" w:lineRule="auto"/>
        <w:rPr>
          <w:rFonts w:hAnsi="宋体"/>
        </w:rPr>
      </w:pPr>
      <w:r>
        <w:rPr>
          <w:rFonts w:hint="eastAsia"/>
        </w:rPr>
        <w:t>长输热网专用硅酸铝针刺毯，其主要技术要求为：</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40"/>
        <w:gridCol w:w="1169"/>
        <w:gridCol w:w="3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ind w:firstLine="422"/>
              <w:jc w:val="center"/>
              <w:rPr>
                <w:rFonts w:hAnsi="宋体"/>
                <w:b/>
                <w:szCs w:val="21"/>
              </w:rPr>
            </w:pPr>
            <w:r>
              <w:rPr>
                <w:rFonts w:hint="eastAsia" w:hAnsi="宋体"/>
                <w:b/>
                <w:szCs w:val="21"/>
              </w:rPr>
              <w:t>项目</w:t>
            </w:r>
          </w:p>
        </w:tc>
        <w:tc>
          <w:tcPr>
            <w:tcW w:w="3572" w:type="dxa"/>
            <w:vAlign w:val="center"/>
          </w:tcPr>
          <w:p>
            <w:pPr>
              <w:ind w:firstLine="422"/>
              <w:jc w:val="center"/>
              <w:rPr>
                <w:rFonts w:hAnsi="宋体"/>
                <w:b/>
                <w:szCs w:val="21"/>
              </w:rPr>
            </w:pPr>
            <w:r>
              <w:rPr>
                <w:rFonts w:hint="eastAsia" w:hAnsi="宋体"/>
                <w:b/>
                <w:szCs w:val="21"/>
              </w:rPr>
              <w:t>设计要求值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ind w:firstLine="420"/>
              <w:jc w:val="center"/>
              <w:rPr>
                <w:rFonts w:hAnsi="宋体" w:cs="宋体"/>
                <w:szCs w:val="21"/>
              </w:rPr>
            </w:pPr>
            <w:r>
              <w:rPr>
                <w:rFonts w:hint="eastAsia" w:hAnsi="宋体"/>
                <w:szCs w:val="21"/>
              </w:rPr>
              <w:t>理论体积密度（kg/m³）</w:t>
            </w:r>
          </w:p>
        </w:tc>
        <w:tc>
          <w:tcPr>
            <w:tcW w:w="3572" w:type="dxa"/>
            <w:vAlign w:val="center"/>
          </w:tcPr>
          <w:p>
            <w:pPr>
              <w:ind w:firstLine="420"/>
              <w:jc w:val="center"/>
              <w:rPr>
                <w:rFonts w:hAnsi="宋体" w:cs="宋体"/>
                <w:szCs w:val="21"/>
              </w:rPr>
            </w:pPr>
            <w:r>
              <w:rPr>
                <w:rFonts w:hint="eastAsia" w:hAnsi="宋体" w:cs="Arial"/>
                <w:szCs w:val="21"/>
              </w:rPr>
              <w:t>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3809" w:type="dxa"/>
            <w:gridSpan w:val="2"/>
            <w:vAlign w:val="center"/>
          </w:tcPr>
          <w:p>
            <w:pPr>
              <w:rPr>
                <w:rFonts w:hAnsi="宋体" w:cs="宋体"/>
                <w:szCs w:val="21"/>
              </w:rPr>
            </w:pPr>
            <w:r>
              <w:rPr>
                <w:rFonts w:hint="eastAsia" w:hAnsi="宋体" w:cs="Arial"/>
                <w:szCs w:val="21"/>
              </w:rPr>
              <w:t>加热永久线变化（1000℃·8h</w:t>
            </w:r>
            <w:r>
              <w:rPr>
                <w:rFonts w:hAnsi="宋体" w:cs="Arial"/>
                <w:szCs w:val="21"/>
              </w:rPr>
              <w:t>）</w:t>
            </w:r>
            <w:r>
              <w:rPr>
                <w:rFonts w:hint="eastAsia" w:hAnsi="宋体"/>
                <w:szCs w:val="21"/>
              </w:rPr>
              <w:t>（%）</w:t>
            </w:r>
          </w:p>
        </w:tc>
        <w:tc>
          <w:tcPr>
            <w:tcW w:w="3572" w:type="dxa"/>
            <w:vAlign w:val="center"/>
          </w:tcPr>
          <w:p>
            <w:pPr>
              <w:ind w:firstLine="420"/>
              <w:jc w:val="center"/>
              <w:rPr>
                <w:rFonts w:hAnsi="宋体" w:cs="宋体"/>
                <w:szCs w:val="21"/>
              </w:rPr>
            </w:pPr>
            <w:r>
              <w:rPr>
                <w:rFonts w:hint="eastAsia" w:hAnsi="宋体"/>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3809" w:type="dxa"/>
            <w:gridSpan w:val="2"/>
            <w:vAlign w:val="center"/>
          </w:tcPr>
          <w:p>
            <w:pPr>
              <w:ind w:firstLine="420"/>
              <w:jc w:val="center"/>
              <w:rPr>
                <w:rFonts w:hAnsi="宋体" w:cs="Arial"/>
                <w:szCs w:val="21"/>
              </w:rPr>
            </w:pPr>
            <w:r>
              <w:rPr>
                <w:rFonts w:hint="eastAsia" w:hAnsi="宋体" w:cs="Arial"/>
                <w:szCs w:val="21"/>
              </w:rPr>
              <w:t>导热系数 W/(m·K)</w:t>
            </w:r>
          </w:p>
          <w:p>
            <w:pPr>
              <w:ind w:firstLine="420"/>
              <w:jc w:val="center"/>
              <w:rPr>
                <w:rFonts w:hAnsi="宋体" w:cs="宋体"/>
                <w:szCs w:val="21"/>
              </w:rPr>
            </w:pPr>
            <w:r>
              <w:rPr>
                <w:rFonts w:hint="eastAsia" w:hAnsi="宋体" w:cs="Arial"/>
                <w:szCs w:val="21"/>
              </w:rPr>
              <w:t>（平均温度500℃)</w:t>
            </w:r>
          </w:p>
        </w:tc>
        <w:tc>
          <w:tcPr>
            <w:tcW w:w="3572" w:type="dxa"/>
            <w:vAlign w:val="center"/>
          </w:tcPr>
          <w:p>
            <w:pPr>
              <w:ind w:firstLine="420"/>
              <w:jc w:val="center"/>
              <w:rPr>
                <w:rFonts w:hAnsi="宋体" w:cs="宋体"/>
                <w:szCs w:val="21"/>
              </w:rPr>
            </w:pPr>
            <w:r>
              <w:rPr>
                <w:rFonts w:hint="eastAsia" w:hAnsi="宋体" w:cs="Arial"/>
                <w:szCs w:val="21"/>
              </w:rPr>
              <w:t>≤0.153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2640" w:type="dxa"/>
            <w:vAlign w:val="center"/>
          </w:tcPr>
          <w:p>
            <w:pPr>
              <w:spacing w:line="360" w:lineRule="auto"/>
              <w:ind w:firstLine="420"/>
              <w:jc w:val="center"/>
              <w:rPr>
                <w:rFonts w:hAnsi="宋体"/>
                <w:szCs w:val="21"/>
              </w:rPr>
            </w:pPr>
            <w:r>
              <w:rPr>
                <w:rFonts w:hint="eastAsia" w:hAnsi="宋体"/>
                <w:szCs w:val="21"/>
              </w:rPr>
              <w:t>抗拉强度（kPa）</w:t>
            </w:r>
          </w:p>
          <w:p>
            <w:pPr>
              <w:ind w:firstLine="420"/>
              <w:jc w:val="center"/>
              <w:rPr>
                <w:rFonts w:hAnsi="宋体" w:cs="宋体"/>
                <w:szCs w:val="21"/>
              </w:rPr>
            </w:pPr>
            <w:r>
              <w:rPr>
                <w:rFonts w:hint="eastAsia" w:hAnsi="宋体"/>
                <w:szCs w:val="21"/>
              </w:rPr>
              <w:t>（厚度</w:t>
            </w:r>
            <w:r>
              <w:rPr>
                <w:rFonts w:hAnsi="宋体"/>
                <w:szCs w:val="21"/>
              </w:rPr>
              <w:t>40</w:t>
            </w:r>
            <w:r>
              <w:rPr>
                <w:rFonts w:hint="eastAsia" w:hAnsi="宋体"/>
                <w:szCs w:val="21"/>
              </w:rPr>
              <w:t>mm）</w:t>
            </w:r>
          </w:p>
        </w:tc>
        <w:tc>
          <w:tcPr>
            <w:tcW w:w="1169" w:type="dxa"/>
            <w:vAlign w:val="center"/>
          </w:tcPr>
          <w:p>
            <w:pPr>
              <w:spacing w:line="360" w:lineRule="auto"/>
              <w:rPr>
                <w:rFonts w:hAnsi="宋体" w:cs="宋体"/>
                <w:szCs w:val="21"/>
              </w:rPr>
            </w:pPr>
            <w:r>
              <w:rPr>
                <w:rFonts w:hAnsi="宋体"/>
                <w:szCs w:val="21"/>
              </w:rPr>
              <w:t>96</w:t>
            </w:r>
            <w:r>
              <w:rPr>
                <w:rFonts w:hint="eastAsia" w:hAnsi="宋体"/>
                <w:szCs w:val="21"/>
              </w:rPr>
              <w:t xml:space="preserve"> kg/m</w:t>
            </w:r>
            <w:r>
              <w:rPr>
                <w:rFonts w:hint="eastAsia" w:hAnsi="宋体"/>
                <w:szCs w:val="21"/>
                <w:vertAlign w:val="superscript"/>
              </w:rPr>
              <w:t>3</w:t>
            </w:r>
          </w:p>
        </w:tc>
        <w:tc>
          <w:tcPr>
            <w:tcW w:w="3572" w:type="dxa"/>
            <w:vAlign w:val="center"/>
          </w:tcPr>
          <w:p>
            <w:pPr>
              <w:spacing w:line="360" w:lineRule="auto"/>
              <w:ind w:firstLine="420"/>
              <w:jc w:val="center"/>
              <w:rPr>
                <w:rFonts w:hAnsi="宋体" w:cs="宋体"/>
                <w:szCs w:val="21"/>
              </w:rPr>
            </w:pPr>
            <w:r>
              <w:rPr>
                <w:rFonts w:hint="eastAsia" w:hAnsi="宋体"/>
                <w:szCs w:val="21"/>
              </w:rPr>
              <w:t>≥</w:t>
            </w:r>
            <w:r>
              <w:rPr>
                <w:rFonts w:hAnsi="宋体"/>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ind w:firstLine="420"/>
              <w:jc w:val="center"/>
              <w:rPr>
                <w:rFonts w:hAnsi="宋体" w:cs="宋体"/>
                <w:szCs w:val="21"/>
              </w:rPr>
            </w:pPr>
            <w:r>
              <w:rPr>
                <w:rFonts w:hint="eastAsia" w:hAnsi="宋体" w:cs="Arial"/>
                <w:szCs w:val="21"/>
              </w:rPr>
              <w:t>渣球含量(粒径大于0.21mm)</w:t>
            </w:r>
          </w:p>
        </w:tc>
        <w:tc>
          <w:tcPr>
            <w:tcW w:w="3572" w:type="dxa"/>
            <w:vAlign w:val="center"/>
          </w:tcPr>
          <w:p>
            <w:pPr>
              <w:ind w:firstLine="420"/>
              <w:jc w:val="center"/>
              <w:rPr>
                <w:rFonts w:hAnsi="宋体" w:cs="宋体"/>
                <w:szCs w:val="21"/>
              </w:rPr>
            </w:pPr>
            <w:r>
              <w:rPr>
                <w:rFonts w:hint="eastAsia" w:hAnsi="宋体" w:cs="宋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ind w:firstLine="420"/>
              <w:jc w:val="center"/>
              <w:rPr>
                <w:rFonts w:hAnsi="宋体" w:cs="宋体"/>
                <w:szCs w:val="21"/>
              </w:rPr>
            </w:pPr>
            <w:r>
              <w:rPr>
                <w:rFonts w:hint="eastAsia" w:hAnsi="宋体"/>
                <w:szCs w:val="21"/>
              </w:rPr>
              <w:t>氧化铝含量（Al</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Ansi="宋体"/>
                <w:szCs w:val="21"/>
              </w:rPr>
              <w:t>）</w:t>
            </w:r>
            <w:r>
              <w:rPr>
                <w:rFonts w:hint="eastAsia" w:hAnsi="宋体"/>
                <w:szCs w:val="21"/>
              </w:rPr>
              <w:t>%</w:t>
            </w:r>
          </w:p>
        </w:tc>
        <w:tc>
          <w:tcPr>
            <w:tcW w:w="3572" w:type="dxa"/>
            <w:vAlign w:val="center"/>
          </w:tcPr>
          <w:p>
            <w:pPr>
              <w:ind w:firstLine="420"/>
              <w:jc w:val="center"/>
              <w:rPr>
                <w:rFonts w:hAnsi="宋体" w:cs="宋体"/>
                <w:szCs w:val="21"/>
              </w:rPr>
            </w:pPr>
            <w:r>
              <w:rPr>
                <w:rFonts w:hint="eastAsia" w:hAnsi="宋体"/>
                <w:szCs w:val="21"/>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809" w:type="dxa"/>
            <w:gridSpan w:val="2"/>
            <w:vAlign w:val="center"/>
          </w:tcPr>
          <w:p>
            <w:pPr>
              <w:ind w:firstLine="420"/>
              <w:jc w:val="center"/>
              <w:rPr>
                <w:rFonts w:hAnsi="宋体" w:cs="宋体"/>
                <w:szCs w:val="21"/>
              </w:rPr>
            </w:pPr>
            <w:r>
              <w:rPr>
                <w:rFonts w:hint="eastAsia" w:hAnsi="宋体"/>
                <w:szCs w:val="21"/>
              </w:rPr>
              <w:t>氧化铝＋二氧化硅含量%</w:t>
            </w:r>
          </w:p>
        </w:tc>
        <w:tc>
          <w:tcPr>
            <w:tcW w:w="3572" w:type="dxa"/>
            <w:vAlign w:val="center"/>
          </w:tcPr>
          <w:p>
            <w:pPr>
              <w:ind w:firstLine="420"/>
              <w:jc w:val="center"/>
              <w:rPr>
                <w:rFonts w:hAnsi="宋体" w:cs="宋体"/>
                <w:szCs w:val="21"/>
              </w:rPr>
            </w:pPr>
            <w:r>
              <w:rPr>
                <w:rFonts w:hint="eastAsia" w:hAnsi="宋体"/>
                <w:szCs w:val="21"/>
              </w:rPr>
              <w:t>≥95</w:t>
            </w:r>
          </w:p>
        </w:tc>
      </w:tr>
    </w:tbl>
    <w:p>
      <w:pPr>
        <w:rPr>
          <w:rFonts w:hAnsi="宋体"/>
          <w:b/>
          <w:bCs/>
          <w:sz w:val="28"/>
          <w:szCs w:val="28"/>
        </w:rPr>
      </w:pPr>
      <w:r>
        <w:rPr>
          <w:rFonts w:hint="eastAsia" w:hAnsi="宋体"/>
          <w:b/>
          <w:bCs/>
          <w:sz w:val="28"/>
          <w:szCs w:val="28"/>
        </w:rPr>
        <w:t xml:space="preserve"> </w:t>
      </w:r>
    </w:p>
    <w:p>
      <w:pPr>
        <w:tabs>
          <w:tab w:val="left" w:pos="0"/>
        </w:tabs>
        <w:spacing w:line="360" w:lineRule="auto"/>
        <w:rPr>
          <w:rFonts w:hAnsi="宋体"/>
        </w:rPr>
      </w:pPr>
      <w:r>
        <w:rPr>
          <w:rFonts w:hint="eastAsia" w:hAnsi="宋体"/>
        </w:rPr>
        <w:t>4.3.4反射层技术要求</w:t>
      </w:r>
    </w:p>
    <w:p>
      <w:pPr>
        <w:spacing w:line="360" w:lineRule="auto"/>
        <w:ind w:firstLine="420" w:firstLineChars="200"/>
      </w:pPr>
      <w:r>
        <w:rPr>
          <w:rFonts w:hint="eastAsia"/>
        </w:rPr>
        <w:t>反射层采用长</w:t>
      </w:r>
      <w:r>
        <w:t>输</w:t>
      </w:r>
      <w:r>
        <w:rPr>
          <w:rFonts w:hint="eastAsia" w:hAnsi="宋体" w:cs="宋体"/>
        </w:rPr>
        <w:t>低能耗反射层</w:t>
      </w:r>
      <w:r>
        <w:rPr>
          <w:rFonts w:hint="eastAsia"/>
        </w:rPr>
        <w:t>，其技术要求如下：</w:t>
      </w:r>
    </w:p>
    <w:p>
      <w:pPr>
        <w:spacing w:line="360" w:lineRule="auto"/>
        <w:rPr>
          <w:rFonts w:hAnsi="宋体" w:cs="宋体"/>
        </w:rPr>
      </w:pPr>
      <w:r>
        <w:rPr>
          <w:rFonts w:hint="eastAsia"/>
        </w:rPr>
        <w:t>（1）</w:t>
      </w:r>
      <w:r>
        <w:rPr>
          <w:rFonts w:hAnsi="宋体" w:cs="宋体"/>
        </w:rPr>
        <w:t>长输低能耗耐超高温(350℃)反射层</w:t>
      </w:r>
      <w:r>
        <w:rPr>
          <w:rFonts w:hint="eastAsia"/>
          <w:szCs w:val="2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71"/>
        <w:gridCol w:w="1559"/>
        <w:gridCol w:w="136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名称</w:t>
            </w:r>
          </w:p>
        </w:tc>
        <w:tc>
          <w:tcPr>
            <w:tcW w:w="5966" w:type="dxa"/>
            <w:gridSpan w:val="3"/>
            <w:vAlign w:val="center"/>
          </w:tcPr>
          <w:p>
            <w:pPr>
              <w:jc w:val="center"/>
              <w:rPr>
                <w:rFonts w:hAnsi="宋体" w:cs="宋体"/>
              </w:rPr>
            </w:pPr>
            <w:r>
              <w:rPr>
                <w:rFonts w:hAnsi="宋体" w:cs="宋体"/>
              </w:rPr>
              <w:t>长输低能耗耐超高温(350℃)反射层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型号</w:t>
            </w:r>
          </w:p>
        </w:tc>
        <w:tc>
          <w:tcPr>
            <w:tcW w:w="5966" w:type="dxa"/>
            <w:gridSpan w:val="3"/>
            <w:vAlign w:val="center"/>
          </w:tcPr>
          <w:p>
            <w:pPr>
              <w:jc w:val="center"/>
              <w:rPr>
                <w:rFonts w:hAnsi="宋体" w:cs="宋体"/>
              </w:rPr>
            </w:pPr>
            <w:r>
              <w:rPr>
                <w:rFonts w:hAnsi="宋体" w:cs="宋体"/>
              </w:rPr>
              <w:t>耐超高温型UHR-15/200-350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restart"/>
            <w:vAlign w:val="center"/>
          </w:tcPr>
          <w:p>
            <w:pPr>
              <w:jc w:val="center"/>
              <w:rPr>
                <w:rFonts w:hAnsi="宋体" w:cs="宋体"/>
              </w:rPr>
            </w:pPr>
            <w:r>
              <w:rPr>
                <w:rFonts w:hint="eastAsia" w:hAnsi="宋体" w:cs="宋体"/>
              </w:rPr>
              <w:t>主要材料</w:t>
            </w:r>
          </w:p>
        </w:tc>
        <w:tc>
          <w:tcPr>
            <w:tcW w:w="5966" w:type="dxa"/>
            <w:gridSpan w:val="3"/>
            <w:vAlign w:val="center"/>
          </w:tcPr>
          <w:p>
            <w:pPr>
              <w:jc w:val="center"/>
              <w:rPr>
                <w:rFonts w:hAnsi="宋体" w:cs="宋体"/>
              </w:rPr>
            </w:pPr>
            <w:r>
              <w:rPr>
                <w:rFonts w:hAnsi="宋体" w:cs="宋体"/>
              </w:rPr>
              <w:t>特制高纯度高反射铝箔(15μm)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szCs w:val="21"/>
              </w:rPr>
            </w:pPr>
            <w:r>
              <w:rPr>
                <w:rFonts w:hAnsi="宋体" w:cs="宋体"/>
              </w:rPr>
              <w:t>耐超高温阻燃胶粘剂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rPr>
            </w:pPr>
            <w:r>
              <w:rPr>
                <w:rFonts w:hAnsi="宋体" w:cs="宋体"/>
              </w:rPr>
              <w:t>中碱玻纤布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规格尺寸</w:t>
            </w:r>
          </w:p>
        </w:tc>
        <w:tc>
          <w:tcPr>
            <w:tcW w:w="1671" w:type="dxa"/>
            <w:vAlign w:val="center"/>
          </w:tcPr>
          <w:p>
            <w:pPr>
              <w:jc w:val="center"/>
              <w:rPr>
                <w:rFonts w:hAnsi="宋体" w:cs="宋体"/>
              </w:rPr>
            </w:pPr>
            <w:r>
              <w:rPr>
                <w:rFonts w:hint="eastAsia" w:hAnsi="宋体" w:cs="宋体"/>
              </w:rPr>
              <w:t>长度（m）</w:t>
            </w:r>
          </w:p>
        </w:tc>
        <w:tc>
          <w:tcPr>
            <w:tcW w:w="5966" w:type="dxa"/>
            <w:gridSpan w:val="3"/>
            <w:vAlign w:val="center"/>
          </w:tcPr>
          <w:p>
            <w:pPr>
              <w:jc w:val="center"/>
              <w:rPr>
                <w:rFonts w:hAnsi="宋体" w:cs="宋体"/>
              </w:rPr>
            </w:pPr>
            <w:r>
              <w:rPr>
                <w:rFonts w:hAnsi="宋体" w:cs="宋体"/>
              </w:rPr>
              <w:t>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宽度（mm）</w:t>
            </w:r>
          </w:p>
        </w:tc>
        <w:tc>
          <w:tcPr>
            <w:tcW w:w="5966" w:type="dxa"/>
            <w:gridSpan w:val="3"/>
            <w:vAlign w:val="center"/>
          </w:tcPr>
          <w:p>
            <w:pPr>
              <w:jc w:val="center"/>
              <w:rPr>
                <w:rFonts w:hAnsi="宋体" w:cs="宋体"/>
              </w:rPr>
            </w:pPr>
            <w:r>
              <w:rPr>
                <w:rFonts w:hAnsi="宋体" w:cs="宋体"/>
              </w:rPr>
              <w:t>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重量</w:t>
            </w:r>
          </w:p>
        </w:tc>
        <w:tc>
          <w:tcPr>
            <w:tcW w:w="1671" w:type="dxa"/>
            <w:vAlign w:val="center"/>
          </w:tcPr>
          <w:p>
            <w:pPr>
              <w:jc w:val="center"/>
              <w:rPr>
                <w:rFonts w:hAnsi="宋体" w:cs="宋体"/>
              </w:rPr>
            </w:pPr>
            <w:r>
              <w:rPr>
                <w:rFonts w:hint="eastAsia" w:hAnsi="宋体" w:cs="宋体"/>
              </w:rPr>
              <w:t>玻纤布（g/m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Ansi="宋体" w:cs="宋体"/>
              </w:rPr>
              <w:t>160~170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成品（g/m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抗拉强度</w:t>
            </w:r>
          </w:p>
        </w:tc>
        <w:tc>
          <w:tcPr>
            <w:tcW w:w="1671" w:type="dxa"/>
            <w:vAlign w:val="center"/>
          </w:tcPr>
          <w:p>
            <w:pPr>
              <w:jc w:val="center"/>
              <w:rPr>
                <w:rFonts w:hAnsi="宋体" w:cs="宋体"/>
              </w:rPr>
            </w:pPr>
            <w:r>
              <w:rPr>
                <w:rFonts w:hint="eastAsia" w:hAnsi="宋体" w:cs="宋体"/>
              </w:rPr>
              <w:t>纵向（N/25mm）</w:t>
            </w:r>
          </w:p>
        </w:tc>
        <w:tc>
          <w:tcPr>
            <w:tcW w:w="1559" w:type="dxa"/>
            <w:vAlign w:val="center"/>
          </w:tcPr>
          <w:p>
            <w:pPr>
              <w:jc w:val="center"/>
              <w:rPr>
                <w:rFonts w:hAnsi="宋体" w:cs="宋体"/>
              </w:rPr>
            </w:pPr>
            <w:r>
              <w:rPr>
                <w:rFonts w:hint="eastAsia" w:hAnsi="宋体" w:cs="宋体"/>
              </w:rPr>
              <w:t>600</w:t>
            </w:r>
          </w:p>
        </w:tc>
        <w:tc>
          <w:tcPr>
            <w:tcW w:w="1366" w:type="dxa"/>
            <w:vMerge w:val="restart"/>
            <w:vAlign w:val="center"/>
          </w:tcPr>
          <w:p>
            <w:pPr>
              <w:jc w:val="center"/>
              <w:rPr>
                <w:rFonts w:hAnsi="宋体" w:cs="宋体"/>
              </w:rPr>
            </w:pPr>
            <w:r>
              <w:rPr>
                <w:rFonts w:hint="eastAsia" w:hAnsi="宋体" w:cs="宋体"/>
              </w:rPr>
              <w:t>检测方法</w:t>
            </w: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横向（N/25mm）</w:t>
            </w:r>
          </w:p>
        </w:tc>
        <w:tc>
          <w:tcPr>
            <w:tcW w:w="1559" w:type="dxa"/>
            <w:vAlign w:val="center"/>
          </w:tcPr>
          <w:p>
            <w:pPr>
              <w:jc w:val="center"/>
              <w:rPr>
                <w:rFonts w:hAnsi="宋体" w:cs="宋体"/>
              </w:rPr>
            </w:pPr>
            <w:r>
              <w:rPr>
                <w:rFonts w:hint="eastAsia" w:hAnsi="宋体" w:cs="宋体"/>
              </w:rPr>
              <w:t>350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顶破强度（N）</w:t>
            </w:r>
          </w:p>
        </w:tc>
        <w:tc>
          <w:tcPr>
            <w:tcW w:w="1559" w:type="dxa"/>
            <w:vAlign w:val="center"/>
          </w:tcPr>
          <w:p>
            <w:pPr>
              <w:jc w:val="center"/>
              <w:rPr>
                <w:rFonts w:hAnsi="宋体" w:cs="宋体"/>
              </w:rPr>
            </w:pPr>
            <w:r>
              <w:rPr>
                <w:rFonts w:hint="eastAsia" w:hAnsi="宋体" w:cs="宋体"/>
              </w:rPr>
              <w:t>200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JC/T2028-2010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外观</w:t>
            </w:r>
          </w:p>
        </w:tc>
        <w:tc>
          <w:tcPr>
            <w:tcW w:w="5966" w:type="dxa"/>
            <w:gridSpan w:val="3"/>
            <w:vAlign w:val="center"/>
          </w:tcPr>
          <w:p>
            <w:pPr>
              <w:jc w:val="center"/>
              <w:rPr>
                <w:rFonts w:hAnsi="宋体" w:cs="宋体"/>
              </w:rPr>
            </w:pPr>
            <w:r>
              <w:rPr>
                <w:rFonts w:hint="eastAsia" w:hAnsi="宋体" w:cs="宋体"/>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耐低温性</w:t>
            </w:r>
          </w:p>
        </w:tc>
        <w:tc>
          <w:tcPr>
            <w:tcW w:w="5966" w:type="dxa"/>
            <w:gridSpan w:val="3"/>
            <w:vAlign w:val="center"/>
          </w:tcPr>
          <w:p>
            <w:pPr>
              <w:jc w:val="center"/>
              <w:rPr>
                <w:rFonts w:hAnsi="宋体" w:cs="宋体"/>
              </w:rPr>
            </w:pPr>
            <w:r>
              <w:rPr>
                <w:rFonts w:hint="eastAsia" w:hAnsi="宋体" w:cs="宋体"/>
              </w:rPr>
              <w:t>-18℃、4小时无脱壳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耐高温性</w:t>
            </w:r>
          </w:p>
        </w:tc>
        <w:tc>
          <w:tcPr>
            <w:tcW w:w="5966" w:type="dxa"/>
            <w:gridSpan w:val="3"/>
            <w:vAlign w:val="center"/>
          </w:tcPr>
          <w:p>
            <w:pPr>
              <w:jc w:val="center"/>
              <w:rPr>
                <w:rFonts w:hAnsi="宋体" w:cs="宋体"/>
              </w:rPr>
            </w:pPr>
            <w:r>
              <w:rPr>
                <w:rFonts w:hint="eastAsia" w:hAnsi="宋体" w:cs="宋体"/>
              </w:rPr>
              <w:t>350℃、4小时无脱壳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阻燃性能</w:t>
            </w:r>
          </w:p>
        </w:tc>
        <w:tc>
          <w:tcPr>
            <w:tcW w:w="5966" w:type="dxa"/>
            <w:gridSpan w:val="3"/>
            <w:vAlign w:val="center"/>
          </w:tcPr>
          <w:p>
            <w:pPr>
              <w:jc w:val="center"/>
              <w:rPr>
                <w:rFonts w:hAnsi="宋体" w:cs="宋体"/>
              </w:rPr>
            </w:pPr>
            <w:r>
              <w:rPr>
                <w:rFonts w:hint="eastAsia" w:hAnsi="宋体" w:cs="宋体"/>
              </w:rPr>
              <w:t>离火自熄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14" w:type="dxa"/>
            <w:gridSpan w:val="5"/>
            <w:vAlign w:val="center"/>
          </w:tcPr>
          <w:p>
            <w:pPr>
              <w:jc w:val="center"/>
              <w:rPr>
                <w:rFonts w:hAnsi="宋体" w:cs="宋体"/>
              </w:rPr>
            </w:pPr>
            <w:r>
              <w:rPr>
                <w:rFonts w:hint="eastAsia" w:hAnsi="宋体" w:cs="宋体"/>
              </w:rPr>
              <w:t>注：</w:t>
            </w:r>
            <w:r>
              <w:rPr>
                <w:rFonts w:hAnsi="宋体" w:cs="宋体"/>
              </w:rPr>
              <w:t>耐超高温型必须采用长输热网专用耐超高温阻燃胶粘剂</w:t>
            </w:r>
          </w:p>
        </w:tc>
      </w:tr>
    </w:tbl>
    <w:p>
      <w:pPr>
        <w:spacing w:line="360" w:lineRule="auto"/>
      </w:pPr>
    </w:p>
    <w:p>
      <w:pPr>
        <w:spacing w:line="360" w:lineRule="auto"/>
        <w:rPr>
          <w:rFonts w:hAnsi="宋体" w:cs="宋体"/>
        </w:rPr>
      </w:pPr>
      <w:r>
        <w:rPr>
          <w:rFonts w:hint="eastAsia"/>
        </w:rPr>
        <w:t>（2）</w:t>
      </w:r>
      <w:r>
        <w:rPr>
          <w:rFonts w:hint="eastAsia"/>
          <w:szCs w:val="22"/>
        </w:rPr>
        <w:t>长输低能耗耐高温(300℃)反射层：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71"/>
        <w:gridCol w:w="1559"/>
        <w:gridCol w:w="136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名称</w:t>
            </w:r>
          </w:p>
        </w:tc>
        <w:tc>
          <w:tcPr>
            <w:tcW w:w="5966" w:type="dxa"/>
            <w:gridSpan w:val="3"/>
            <w:vAlign w:val="center"/>
          </w:tcPr>
          <w:p>
            <w:pPr>
              <w:jc w:val="center"/>
              <w:rPr>
                <w:rFonts w:hAnsi="宋体" w:cs="宋体"/>
              </w:rPr>
            </w:pPr>
            <w:r>
              <w:rPr>
                <w:rFonts w:hint="eastAsia" w:hAnsi="宋体" w:cs="宋体"/>
              </w:rPr>
              <w:t>长输低能耗耐高温(300℃)反射层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型号</w:t>
            </w:r>
          </w:p>
        </w:tc>
        <w:tc>
          <w:tcPr>
            <w:tcW w:w="5966" w:type="dxa"/>
            <w:gridSpan w:val="3"/>
            <w:vAlign w:val="center"/>
          </w:tcPr>
          <w:p>
            <w:pPr>
              <w:jc w:val="center"/>
              <w:rPr>
                <w:rFonts w:hAnsi="宋体" w:cs="宋体"/>
              </w:rPr>
            </w:pPr>
            <w:r>
              <w:rPr>
                <w:rFonts w:hint="eastAsia" w:hAnsi="宋体" w:cs="宋体"/>
              </w:rPr>
              <w:t>耐高温型HHR-15/190-300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restart"/>
            <w:vAlign w:val="center"/>
          </w:tcPr>
          <w:p>
            <w:pPr>
              <w:jc w:val="center"/>
              <w:rPr>
                <w:rFonts w:hAnsi="宋体" w:cs="宋体"/>
              </w:rPr>
            </w:pPr>
            <w:r>
              <w:rPr>
                <w:rFonts w:hint="eastAsia" w:hAnsi="宋体" w:cs="宋体"/>
              </w:rPr>
              <w:t>主要材料</w:t>
            </w:r>
          </w:p>
        </w:tc>
        <w:tc>
          <w:tcPr>
            <w:tcW w:w="5966" w:type="dxa"/>
            <w:gridSpan w:val="3"/>
            <w:vAlign w:val="center"/>
          </w:tcPr>
          <w:p>
            <w:pPr>
              <w:jc w:val="center"/>
              <w:rPr>
                <w:rFonts w:hAnsi="宋体" w:cs="宋体"/>
              </w:rPr>
            </w:pPr>
            <w:r>
              <w:rPr>
                <w:rFonts w:hint="eastAsia" w:hAnsi="宋体" w:cs="宋体"/>
              </w:rPr>
              <w:t>特种高纯度高反射铝箔(15μm)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szCs w:val="21"/>
              </w:rPr>
            </w:pPr>
            <w:r>
              <w:rPr>
                <w:rFonts w:hint="eastAsia" w:hAnsi="宋体" w:cs="宋体"/>
              </w:rPr>
              <w:t>耐高温阻燃胶粘剂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rPr>
            </w:pPr>
            <w:r>
              <w:rPr>
                <w:rFonts w:hint="eastAsia" w:hAnsi="宋体" w:cs="宋体"/>
              </w:rPr>
              <w:t>中碱玻纤布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规格尺寸</w:t>
            </w:r>
          </w:p>
        </w:tc>
        <w:tc>
          <w:tcPr>
            <w:tcW w:w="1671" w:type="dxa"/>
            <w:vAlign w:val="center"/>
          </w:tcPr>
          <w:p>
            <w:pPr>
              <w:jc w:val="center"/>
              <w:rPr>
                <w:rFonts w:hAnsi="宋体" w:cs="宋体"/>
              </w:rPr>
            </w:pPr>
            <w:r>
              <w:rPr>
                <w:rFonts w:hint="eastAsia" w:hAnsi="宋体" w:cs="宋体"/>
              </w:rPr>
              <w:t>长度（m）</w:t>
            </w:r>
          </w:p>
        </w:tc>
        <w:tc>
          <w:tcPr>
            <w:tcW w:w="5966" w:type="dxa"/>
            <w:gridSpan w:val="3"/>
            <w:vAlign w:val="center"/>
          </w:tcPr>
          <w:p>
            <w:pPr>
              <w:jc w:val="center"/>
              <w:rPr>
                <w:rFonts w:hAnsi="宋体" w:cs="宋体"/>
              </w:rPr>
            </w:pPr>
            <w:r>
              <w:rPr>
                <w:rFonts w:hint="eastAsia" w:hAnsi="宋体" w:cs="宋体"/>
              </w:rPr>
              <w:t>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宽度（mm）</w:t>
            </w:r>
          </w:p>
        </w:tc>
        <w:tc>
          <w:tcPr>
            <w:tcW w:w="5966" w:type="dxa"/>
            <w:gridSpan w:val="3"/>
            <w:vAlign w:val="center"/>
          </w:tcPr>
          <w:p>
            <w:pPr>
              <w:jc w:val="center"/>
              <w:rPr>
                <w:rFonts w:hAnsi="宋体" w:cs="宋体"/>
              </w:rPr>
            </w:pPr>
            <w:r>
              <w:rPr>
                <w:rFonts w:hint="eastAsia" w:hAnsi="宋体" w:cs="宋体"/>
              </w:rPr>
              <w:t>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重量</w:t>
            </w:r>
          </w:p>
        </w:tc>
        <w:tc>
          <w:tcPr>
            <w:tcW w:w="1671" w:type="dxa"/>
            <w:vAlign w:val="center"/>
          </w:tcPr>
          <w:p>
            <w:pPr>
              <w:jc w:val="center"/>
              <w:rPr>
                <w:rFonts w:hAnsi="宋体" w:cs="宋体"/>
              </w:rPr>
            </w:pPr>
            <w:r>
              <w:rPr>
                <w:rFonts w:hint="eastAsia" w:hAnsi="宋体" w:cs="宋体"/>
              </w:rPr>
              <w:t>玻纤布（g/m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150</w:t>
            </w:r>
            <w:r>
              <w:t>~</w:t>
            </w:r>
            <w:r>
              <w:rPr>
                <w:rFonts w:hint="eastAsia"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成品（g/m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restart"/>
            <w:vAlign w:val="center"/>
          </w:tcPr>
          <w:p>
            <w:pPr>
              <w:jc w:val="center"/>
              <w:rPr>
                <w:rFonts w:hAnsi="宋体" w:cs="宋体"/>
              </w:rPr>
            </w:pPr>
            <w:r>
              <w:rPr>
                <w:rFonts w:hint="eastAsia" w:hAnsi="宋体" w:cs="宋体"/>
              </w:rPr>
              <w:t>抗拉强度</w:t>
            </w:r>
          </w:p>
        </w:tc>
        <w:tc>
          <w:tcPr>
            <w:tcW w:w="1671" w:type="dxa"/>
            <w:vAlign w:val="center"/>
          </w:tcPr>
          <w:p>
            <w:pPr>
              <w:jc w:val="center"/>
              <w:rPr>
                <w:rFonts w:hAnsi="宋体" w:cs="宋体"/>
              </w:rPr>
            </w:pPr>
            <w:r>
              <w:rPr>
                <w:rFonts w:hint="eastAsia" w:hAnsi="宋体" w:cs="宋体"/>
              </w:rPr>
              <w:t>纵向（N/25mm）</w:t>
            </w:r>
          </w:p>
        </w:tc>
        <w:tc>
          <w:tcPr>
            <w:tcW w:w="1559" w:type="dxa"/>
            <w:vAlign w:val="center"/>
          </w:tcPr>
          <w:p>
            <w:pPr>
              <w:jc w:val="center"/>
              <w:rPr>
                <w:rFonts w:hAnsi="宋体" w:cs="宋体"/>
              </w:rPr>
            </w:pPr>
            <w:r>
              <w:rPr>
                <w:rFonts w:hint="eastAsia" w:hAnsi="宋体" w:cs="宋体"/>
              </w:rPr>
              <w:t>600</w:t>
            </w:r>
          </w:p>
        </w:tc>
        <w:tc>
          <w:tcPr>
            <w:tcW w:w="1366" w:type="dxa"/>
            <w:vMerge w:val="restart"/>
            <w:vAlign w:val="center"/>
          </w:tcPr>
          <w:p>
            <w:pPr>
              <w:jc w:val="center"/>
              <w:rPr>
                <w:rFonts w:hAnsi="宋体" w:cs="宋体"/>
              </w:rPr>
            </w:pPr>
            <w:r>
              <w:rPr>
                <w:rFonts w:hint="eastAsia" w:hAnsi="宋体" w:cs="宋体"/>
              </w:rPr>
              <w:t>检测方法</w:t>
            </w: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77" w:type="dxa"/>
            <w:vMerge w:val="continue"/>
            <w:vAlign w:val="center"/>
          </w:tcPr>
          <w:p>
            <w:pPr>
              <w:jc w:val="center"/>
              <w:rPr>
                <w:rFonts w:hAnsi="宋体" w:cs="宋体"/>
              </w:rPr>
            </w:pPr>
          </w:p>
        </w:tc>
        <w:tc>
          <w:tcPr>
            <w:tcW w:w="1671" w:type="dxa"/>
            <w:vAlign w:val="center"/>
          </w:tcPr>
          <w:p>
            <w:pPr>
              <w:jc w:val="center"/>
              <w:rPr>
                <w:rFonts w:hAnsi="宋体" w:cs="宋体"/>
              </w:rPr>
            </w:pPr>
            <w:r>
              <w:rPr>
                <w:rFonts w:hint="eastAsia" w:hAnsi="宋体" w:cs="宋体"/>
              </w:rPr>
              <w:t>横向（N/25mm）</w:t>
            </w:r>
          </w:p>
        </w:tc>
        <w:tc>
          <w:tcPr>
            <w:tcW w:w="1559" w:type="dxa"/>
            <w:vAlign w:val="center"/>
          </w:tcPr>
          <w:p>
            <w:pPr>
              <w:jc w:val="center"/>
              <w:rPr>
                <w:rFonts w:hAnsi="宋体" w:cs="宋体"/>
              </w:rPr>
            </w:pPr>
            <w:r>
              <w:rPr>
                <w:rFonts w:hint="eastAsia" w:hAnsi="宋体" w:cs="宋体"/>
              </w:rPr>
              <w:t>350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顶破强度（N）</w:t>
            </w:r>
          </w:p>
        </w:tc>
        <w:tc>
          <w:tcPr>
            <w:tcW w:w="1559" w:type="dxa"/>
            <w:vAlign w:val="center"/>
          </w:tcPr>
          <w:p>
            <w:pPr>
              <w:jc w:val="center"/>
              <w:rPr>
                <w:rFonts w:hAnsi="宋体" w:cs="宋体"/>
              </w:rPr>
            </w:pPr>
            <w:r>
              <w:rPr>
                <w:rFonts w:hint="eastAsia" w:hAnsi="宋体" w:cs="宋体"/>
              </w:rPr>
              <w:t>200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JC/T2028-2010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外观</w:t>
            </w:r>
          </w:p>
        </w:tc>
        <w:tc>
          <w:tcPr>
            <w:tcW w:w="5966" w:type="dxa"/>
            <w:gridSpan w:val="3"/>
            <w:vAlign w:val="center"/>
          </w:tcPr>
          <w:p>
            <w:pPr>
              <w:jc w:val="center"/>
              <w:rPr>
                <w:rFonts w:hAnsi="宋体" w:cs="宋体"/>
              </w:rPr>
            </w:pPr>
            <w:r>
              <w:rPr>
                <w:rFonts w:hint="eastAsia" w:hAnsi="宋体" w:cs="宋体"/>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耐低温性</w:t>
            </w:r>
          </w:p>
        </w:tc>
        <w:tc>
          <w:tcPr>
            <w:tcW w:w="5966" w:type="dxa"/>
            <w:gridSpan w:val="3"/>
            <w:vAlign w:val="center"/>
          </w:tcPr>
          <w:p>
            <w:pPr>
              <w:jc w:val="center"/>
              <w:rPr>
                <w:rFonts w:hAnsi="宋体" w:cs="宋体"/>
              </w:rPr>
            </w:pPr>
            <w:r>
              <w:rPr>
                <w:rFonts w:hint="eastAsia" w:hAnsi="宋体" w:cs="宋体"/>
              </w:rPr>
              <w:t>-18℃、4小时无脱壳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耐高温性</w:t>
            </w:r>
          </w:p>
        </w:tc>
        <w:tc>
          <w:tcPr>
            <w:tcW w:w="5966" w:type="dxa"/>
            <w:gridSpan w:val="3"/>
            <w:vAlign w:val="center"/>
          </w:tcPr>
          <w:p>
            <w:pPr>
              <w:jc w:val="center"/>
              <w:rPr>
                <w:rFonts w:hAnsi="宋体" w:cs="宋体"/>
              </w:rPr>
            </w:pPr>
            <w:r>
              <w:rPr>
                <w:rFonts w:hint="eastAsia" w:hAnsi="宋体" w:cs="宋体"/>
              </w:rPr>
              <w:t>300℃、4小时无脱壳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阻燃性能</w:t>
            </w:r>
          </w:p>
        </w:tc>
        <w:tc>
          <w:tcPr>
            <w:tcW w:w="5966" w:type="dxa"/>
            <w:gridSpan w:val="3"/>
            <w:vAlign w:val="center"/>
          </w:tcPr>
          <w:p>
            <w:pPr>
              <w:jc w:val="center"/>
              <w:rPr>
                <w:rFonts w:hAnsi="宋体" w:cs="宋体"/>
              </w:rPr>
            </w:pPr>
            <w:r>
              <w:rPr>
                <w:rFonts w:hint="eastAsia" w:hAnsi="宋体" w:cs="宋体"/>
              </w:rPr>
              <w:t>离火自熄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14" w:type="dxa"/>
            <w:gridSpan w:val="5"/>
            <w:vAlign w:val="center"/>
          </w:tcPr>
          <w:p>
            <w:pPr>
              <w:jc w:val="center"/>
              <w:rPr>
                <w:rFonts w:hAnsi="宋体" w:cs="宋体"/>
              </w:rPr>
            </w:pPr>
            <w:r>
              <w:rPr>
                <w:rFonts w:hint="eastAsia" w:hAnsi="宋体" w:cs="宋体"/>
              </w:rPr>
              <w:t>注：耐高温型必须采用长输热网专用耐高温阻燃胶粘剂</w:t>
            </w:r>
          </w:p>
        </w:tc>
      </w:tr>
    </w:tbl>
    <w:p/>
    <w:p/>
    <w:p>
      <w:pPr>
        <w:spacing w:line="360" w:lineRule="auto"/>
        <w:rPr>
          <w:szCs w:val="22"/>
        </w:rPr>
      </w:pPr>
      <w:r>
        <w:rPr>
          <w:rFonts w:hint="eastAsia"/>
          <w:szCs w:val="22"/>
        </w:rPr>
        <w:t>（3）长输低能耗耐中温(250℃)反射层：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590"/>
        <w:gridCol w:w="1559"/>
        <w:gridCol w:w="136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名称</w:t>
            </w:r>
          </w:p>
        </w:tc>
        <w:tc>
          <w:tcPr>
            <w:tcW w:w="5966" w:type="dxa"/>
            <w:gridSpan w:val="3"/>
            <w:vAlign w:val="center"/>
          </w:tcPr>
          <w:p>
            <w:pPr>
              <w:jc w:val="center"/>
              <w:rPr>
                <w:rFonts w:hAnsi="宋体" w:cs="宋体"/>
              </w:rPr>
            </w:pPr>
            <w:r>
              <w:rPr>
                <w:rFonts w:hint="eastAsia" w:hAnsi="宋体" w:cs="宋体"/>
              </w:rPr>
              <w:t>长输低能耗耐中温(250℃)反射层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型号</w:t>
            </w:r>
          </w:p>
        </w:tc>
        <w:tc>
          <w:tcPr>
            <w:tcW w:w="5966" w:type="dxa"/>
            <w:gridSpan w:val="3"/>
            <w:vAlign w:val="center"/>
          </w:tcPr>
          <w:p>
            <w:pPr>
              <w:jc w:val="center"/>
              <w:rPr>
                <w:rFonts w:hAnsi="宋体" w:cs="宋体"/>
              </w:rPr>
            </w:pPr>
            <w:r>
              <w:rPr>
                <w:rFonts w:hint="eastAsia" w:hAnsi="宋体" w:cs="宋体"/>
              </w:rPr>
              <w:t>耐中温型MHR-9/150-250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restart"/>
            <w:vAlign w:val="center"/>
          </w:tcPr>
          <w:p>
            <w:pPr>
              <w:jc w:val="center"/>
              <w:rPr>
                <w:rFonts w:hAnsi="宋体" w:cs="宋体"/>
              </w:rPr>
            </w:pPr>
            <w:r>
              <w:rPr>
                <w:rFonts w:hint="eastAsia" w:hAnsi="宋体" w:cs="宋体"/>
              </w:rPr>
              <w:t>主要材料</w:t>
            </w:r>
          </w:p>
        </w:tc>
        <w:tc>
          <w:tcPr>
            <w:tcW w:w="5966" w:type="dxa"/>
            <w:gridSpan w:val="3"/>
            <w:vAlign w:val="center"/>
          </w:tcPr>
          <w:p>
            <w:pPr>
              <w:jc w:val="center"/>
              <w:rPr>
                <w:rFonts w:hAnsi="宋体" w:cs="宋体"/>
              </w:rPr>
            </w:pPr>
            <w:r>
              <w:rPr>
                <w:rFonts w:hint="eastAsia" w:hAnsi="宋体" w:cs="宋体"/>
              </w:rPr>
              <w:t>特种高纯度高反射铝箔(9μm)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szCs w:val="21"/>
              </w:rPr>
            </w:pPr>
            <w:r>
              <w:rPr>
                <w:rFonts w:hint="eastAsia" w:hAnsi="宋体" w:cs="宋体"/>
              </w:rPr>
              <w:t>特种阻燃胶粘剂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rPr>
            </w:pPr>
            <w:r>
              <w:rPr>
                <w:rFonts w:hint="eastAsia" w:hAnsi="宋体" w:cs="宋体"/>
              </w:rPr>
              <w:t>中碱玻纤布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规格尺寸</w:t>
            </w:r>
          </w:p>
        </w:tc>
        <w:tc>
          <w:tcPr>
            <w:tcW w:w="1590" w:type="dxa"/>
            <w:vAlign w:val="center"/>
          </w:tcPr>
          <w:p>
            <w:pPr>
              <w:jc w:val="center"/>
              <w:rPr>
                <w:rFonts w:hAnsi="宋体" w:cs="宋体"/>
              </w:rPr>
            </w:pPr>
            <w:r>
              <w:rPr>
                <w:rFonts w:hint="eastAsia" w:hAnsi="宋体" w:cs="宋体"/>
              </w:rPr>
              <w:t>长度（m）</w:t>
            </w:r>
          </w:p>
        </w:tc>
        <w:tc>
          <w:tcPr>
            <w:tcW w:w="5966" w:type="dxa"/>
            <w:gridSpan w:val="3"/>
            <w:vAlign w:val="center"/>
          </w:tcPr>
          <w:p>
            <w:pPr>
              <w:jc w:val="center"/>
              <w:rPr>
                <w:rFonts w:hAnsi="宋体" w:cs="宋体"/>
              </w:rPr>
            </w:pPr>
            <w:r>
              <w:rPr>
                <w:rFonts w:hint="eastAsia" w:hAnsi="宋体" w:cs="宋体"/>
              </w:rPr>
              <w:t>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宽度（mm）</w:t>
            </w:r>
          </w:p>
        </w:tc>
        <w:tc>
          <w:tcPr>
            <w:tcW w:w="5966" w:type="dxa"/>
            <w:gridSpan w:val="3"/>
            <w:vAlign w:val="center"/>
          </w:tcPr>
          <w:p>
            <w:pPr>
              <w:jc w:val="center"/>
              <w:rPr>
                <w:rFonts w:hAnsi="宋体" w:cs="宋体"/>
              </w:rPr>
            </w:pPr>
            <w:r>
              <w:rPr>
                <w:rFonts w:hint="eastAsia" w:hAnsi="宋体" w:cs="宋体"/>
              </w:rPr>
              <w:t>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重量</w:t>
            </w:r>
          </w:p>
        </w:tc>
        <w:tc>
          <w:tcPr>
            <w:tcW w:w="1590" w:type="dxa"/>
            <w:vAlign w:val="center"/>
          </w:tcPr>
          <w:p>
            <w:pPr>
              <w:jc w:val="center"/>
              <w:rPr>
                <w:rFonts w:hAnsi="宋体" w:cs="宋体"/>
              </w:rPr>
            </w:pPr>
            <w:r>
              <w:rPr>
                <w:rFonts w:hint="eastAsia" w:hAnsi="宋体" w:cs="宋体"/>
              </w:rPr>
              <w:t>玻纤布（g/m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120</w:t>
            </w:r>
            <w:r>
              <w:t>~</w:t>
            </w:r>
            <w:r>
              <w:rPr>
                <w:rFonts w:hint="eastAsia" w:hAnsi="宋体" w:cs="宋体"/>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成品（g/m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抗拉强度</w:t>
            </w:r>
          </w:p>
        </w:tc>
        <w:tc>
          <w:tcPr>
            <w:tcW w:w="1590" w:type="dxa"/>
            <w:vAlign w:val="center"/>
          </w:tcPr>
          <w:p>
            <w:pPr>
              <w:jc w:val="center"/>
              <w:rPr>
                <w:rFonts w:hAnsi="宋体" w:cs="宋体"/>
              </w:rPr>
            </w:pPr>
            <w:r>
              <w:rPr>
                <w:rFonts w:hint="eastAsia" w:hAnsi="宋体" w:cs="宋体"/>
              </w:rPr>
              <w:t>纵向（N/25mm）</w:t>
            </w:r>
          </w:p>
        </w:tc>
        <w:tc>
          <w:tcPr>
            <w:tcW w:w="1559" w:type="dxa"/>
            <w:vAlign w:val="center"/>
          </w:tcPr>
          <w:p>
            <w:pPr>
              <w:jc w:val="center"/>
              <w:rPr>
                <w:rFonts w:hAnsi="宋体" w:cs="宋体"/>
              </w:rPr>
            </w:pPr>
            <w:r>
              <w:rPr>
                <w:rFonts w:hint="eastAsia" w:hAnsi="宋体" w:cs="宋体"/>
              </w:rPr>
              <w:t>380</w:t>
            </w:r>
          </w:p>
        </w:tc>
        <w:tc>
          <w:tcPr>
            <w:tcW w:w="1366" w:type="dxa"/>
            <w:vMerge w:val="restart"/>
            <w:vAlign w:val="center"/>
          </w:tcPr>
          <w:p>
            <w:pPr>
              <w:jc w:val="center"/>
              <w:rPr>
                <w:rFonts w:hAnsi="宋体" w:cs="宋体"/>
              </w:rPr>
            </w:pPr>
            <w:r>
              <w:rPr>
                <w:rFonts w:hint="eastAsia" w:hAnsi="宋体" w:cs="宋体"/>
              </w:rPr>
              <w:t>检测方法</w:t>
            </w: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横向（N/25mm）</w:t>
            </w:r>
          </w:p>
        </w:tc>
        <w:tc>
          <w:tcPr>
            <w:tcW w:w="1559" w:type="dxa"/>
            <w:vAlign w:val="center"/>
          </w:tcPr>
          <w:p>
            <w:pPr>
              <w:jc w:val="center"/>
              <w:rPr>
                <w:rFonts w:hAnsi="宋体" w:cs="宋体"/>
              </w:rPr>
            </w:pPr>
            <w:r>
              <w:rPr>
                <w:rFonts w:hint="eastAsia" w:hAnsi="宋体" w:cs="宋体"/>
              </w:rPr>
              <w:t>300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顶破强度（N）</w:t>
            </w:r>
          </w:p>
        </w:tc>
        <w:tc>
          <w:tcPr>
            <w:tcW w:w="1559" w:type="dxa"/>
            <w:vAlign w:val="center"/>
          </w:tcPr>
          <w:p>
            <w:pPr>
              <w:jc w:val="center"/>
              <w:rPr>
                <w:rFonts w:hAnsi="宋体" w:cs="宋体"/>
              </w:rPr>
            </w:pPr>
            <w:r>
              <w:rPr>
                <w:rFonts w:hint="eastAsia" w:hAnsi="宋体" w:cs="宋体"/>
              </w:rPr>
              <w:t>150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JC/T2028-2010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外观</w:t>
            </w:r>
          </w:p>
        </w:tc>
        <w:tc>
          <w:tcPr>
            <w:tcW w:w="5966" w:type="dxa"/>
            <w:gridSpan w:val="3"/>
            <w:vAlign w:val="center"/>
          </w:tcPr>
          <w:p>
            <w:pPr>
              <w:jc w:val="center"/>
              <w:rPr>
                <w:rFonts w:hAnsi="宋体" w:cs="宋体"/>
              </w:rPr>
            </w:pPr>
            <w:r>
              <w:rPr>
                <w:rFonts w:hint="eastAsia" w:hAnsi="宋体" w:cs="宋体"/>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耐低温性</w:t>
            </w:r>
          </w:p>
        </w:tc>
        <w:tc>
          <w:tcPr>
            <w:tcW w:w="5966" w:type="dxa"/>
            <w:gridSpan w:val="3"/>
            <w:vAlign w:val="center"/>
          </w:tcPr>
          <w:p>
            <w:pPr>
              <w:jc w:val="center"/>
              <w:rPr>
                <w:rFonts w:hAnsi="宋体" w:cs="宋体"/>
              </w:rPr>
            </w:pPr>
            <w:r>
              <w:rPr>
                <w:rFonts w:hint="eastAsia" w:hAnsi="宋体" w:cs="宋体"/>
              </w:rPr>
              <w:t>-18℃、4小时无脱壳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耐高温性</w:t>
            </w:r>
          </w:p>
        </w:tc>
        <w:tc>
          <w:tcPr>
            <w:tcW w:w="5966" w:type="dxa"/>
            <w:gridSpan w:val="3"/>
            <w:vAlign w:val="center"/>
          </w:tcPr>
          <w:p>
            <w:pPr>
              <w:jc w:val="center"/>
              <w:rPr>
                <w:rFonts w:hAnsi="宋体" w:cs="宋体"/>
              </w:rPr>
            </w:pPr>
            <w:r>
              <w:rPr>
                <w:rFonts w:hint="eastAsia" w:hAnsi="宋体" w:cs="宋体"/>
              </w:rPr>
              <w:t>250℃、4小时无脱壳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阻燃性能</w:t>
            </w:r>
          </w:p>
        </w:tc>
        <w:tc>
          <w:tcPr>
            <w:tcW w:w="5966" w:type="dxa"/>
            <w:gridSpan w:val="3"/>
            <w:vAlign w:val="center"/>
          </w:tcPr>
          <w:p>
            <w:pPr>
              <w:jc w:val="center"/>
              <w:rPr>
                <w:rFonts w:hAnsi="宋体" w:cs="宋体"/>
              </w:rPr>
            </w:pPr>
            <w:r>
              <w:rPr>
                <w:rFonts w:hint="eastAsia" w:hAnsi="宋体" w:cs="宋体"/>
              </w:rPr>
              <w:t>离火自熄</w:t>
            </w:r>
          </w:p>
        </w:tc>
      </w:tr>
    </w:tbl>
    <w:p/>
    <w:p>
      <w:pPr>
        <w:spacing w:line="360" w:lineRule="auto"/>
        <w:rPr>
          <w:szCs w:val="22"/>
        </w:rPr>
      </w:pPr>
      <w:r>
        <w:rPr>
          <w:rFonts w:hint="eastAsia"/>
          <w:szCs w:val="22"/>
        </w:rPr>
        <w:t>（4）长输低能耗普通(200℃)反射层：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590"/>
        <w:gridCol w:w="1559"/>
        <w:gridCol w:w="136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名称</w:t>
            </w:r>
          </w:p>
        </w:tc>
        <w:tc>
          <w:tcPr>
            <w:tcW w:w="5966" w:type="dxa"/>
            <w:gridSpan w:val="3"/>
            <w:vAlign w:val="center"/>
          </w:tcPr>
          <w:p>
            <w:pPr>
              <w:jc w:val="center"/>
              <w:rPr>
                <w:rFonts w:hAnsi="宋体" w:cs="宋体"/>
              </w:rPr>
            </w:pPr>
            <w:r>
              <w:rPr>
                <w:rFonts w:hint="eastAsia" w:hAnsi="宋体" w:cs="宋体"/>
              </w:rPr>
              <w:t>长输低能耗普通(200℃)反射层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型号</w:t>
            </w:r>
          </w:p>
        </w:tc>
        <w:tc>
          <w:tcPr>
            <w:tcW w:w="5966" w:type="dxa"/>
            <w:gridSpan w:val="3"/>
            <w:vAlign w:val="center"/>
          </w:tcPr>
          <w:p>
            <w:pPr>
              <w:jc w:val="center"/>
              <w:rPr>
                <w:rFonts w:hAnsi="宋体" w:cs="宋体"/>
              </w:rPr>
            </w:pPr>
            <w:r>
              <w:rPr>
                <w:rFonts w:hint="eastAsia" w:hAnsi="宋体" w:cs="宋体"/>
              </w:rPr>
              <w:t>普通型OHR-6.5/110-200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restart"/>
            <w:vAlign w:val="center"/>
          </w:tcPr>
          <w:p>
            <w:pPr>
              <w:jc w:val="center"/>
              <w:rPr>
                <w:rFonts w:hAnsi="宋体" w:cs="宋体"/>
              </w:rPr>
            </w:pPr>
            <w:r>
              <w:rPr>
                <w:rFonts w:hint="eastAsia" w:hAnsi="宋体" w:cs="宋体"/>
              </w:rPr>
              <w:t>主要材料</w:t>
            </w:r>
          </w:p>
        </w:tc>
        <w:tc>
          <w:tcPr>
            <w:tcW w:w="5966" w:type="dxa"/>
            <w:gridSpan w:val="3"/>
            <w:vAlign w:val="center"/>
          </w:tcPr>
          <w:p>
            <w:pPr>
              <w:jc w:val="center"/>
              <w:rPr>
                <w:rFonts w:hAnsi="宋体" w:cs="宋体"/>
              </w:rPr>
            </w:pPr>
            <w:r>
              <w:rPr>
                <w:rFonts w:hint="eastAsia" w:hAnsi="宋体" w:cs="宋体"/>
              </w:rPr>
              <w:t>热网专用铝箔(6.5μm)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szCs w:val="21"/>
              </w:rPr>
            </w:pPr>
            <w:r>
              <w:rPr>
                <w:rFonts w:hint="eastAsia" w:hAnsi="宋体" w:cs="宋体"/>
              </w:rPr>
              <w:t>特种热网专用阻燃胶粘剂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Merge w:val="continue"/>
            <w:vAlign w:val="center"/>
          </w:tcPr>
          <w:p>
            <w:pPr>
              <w:jc w:val="center"/>
              <w:rPr>
                <w:rFonts w:hAnsi="宋体" w:cs="宋体"/>
              </w:rPr>
            </w:pPr>
          </w:p>
        </w:tc>
        <w:tc>
          <w:tcPr>
            <w:tcW w:w="5966" w:type="dxa"/>
            <w:gridSpan w:val="3"/>
            <w:vAlign w:val="center"/>
          </w:tcPr>
          <w:p>
            <w:pPr>
              <w:jc w:val="center"/>
              <w:rPr>
                <w:rFonts w:hAnsi="宋体" w:cs="宋体"/>
              </w:rPr>
            </w:pPr>
            <w:r>
              <w:rPr>
                <w:rFonts w:hint="eastAsia" w:hAnsi="宋体" w:cs="宋体"/>
              </w:rPr>
              <w:t>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规格尺寸</w:t>
            </w:r>
          </w:p>
        </w:tc>
        <w:tc>
          <w:tcPr>
            <w:tcW w:w="1590" w:type="dxa"/>
            <w:vAlign w:val="center"/>
          </w:tcPr>
          <w:p>
            <w:pPr>
              <w:jc w:val="center"/>
              <w:rPr>
                <w:rFonts w:hAnsi="宋体" w:cs="宋体"/>
              </w:rPr>
            </w:pPr>
            <w:r>
              <w:rPr>
                <w:rFonts w:hint="eastAsia" w:hAnsi="宋体" w:cs="宋体"/>
              </w:rPr>
              <w:t>长度（m）</w:t>
            </w:r>
          </w:p>
        </w:tc>
        <w:tc>
          <w:tcPr>
            <w:tcW w:w="5966" w:type="dxa"/>
            <w:gridSpan w:val="3"/>
            <w:vAlign w:val="center"/>
          </w:tcPr>
          <w:p>
            <w:pPr>
              <w:jc w:val="center"/>
              <w:rPr>
                <w:rFonts w:hAnsi="宋体" w:cs="宋体"/>
              </w:rPr>
            </w:pPr>
            <w:r>
              <w:rPr>
                <w:rFonts w:hint="eastAsia" w:hAnsi="宋体" w:cs="宋体"/>
              </w:rPr>
              <w:t>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宽度（mm）</w:t>
            </w:r>
          </w:p>
        </w:tc>
        <w:tc>
          <w:tcPr>
            <w:tcW w:w="5966" w:type="dxa"/>
            <w:gridSpan w:val="3"/>
            <w:vAlign w:val="center"/>
          </w:tcPr>
          <w:p>
            <w:pPr>
              <w:jc w:val="center"/>
              <w:rPr>
                <w:rFonts w:hAnsi="宋体" w:cs="宋体"/>
              </w:rPr>
            </w:pPr>
            <w:r>
              <w:rPr>
                <w:rFonts w:hint="eastAsia" w:hAnsi="宋体" w:cs="宋体"/>
              </w:rPr>
              <w:t>500±10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重量</w:t>
            </w:r>
          </w:p>
        </w:tc>
        <w:tc>
          <w:tcPr>
            <w:tcW w:w="1590" w:type="dxa"/>
            <w:vAlign w:val="center"/>
          </w:tcPr>
          <w:p>
            <w:pPr>
              <w:jc w:val="center"/>
              <w:rPr>
                <w:rFonts w:hAnsi="宋体" w:cs="宋体"/>
              </w:rPr>
            </w:pPr>
            <w:r>
              <w:rPr>
                <w:rFonts w:hint="eastAsia" w:hAnsi="宋体" w:cs="宋体"/>
              </w:rPr>
              <w:t>玻纤布（g/m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成品（g/m</w:t>
            </w:r>
            <w:r>
              <w:rPr>
                <w:rFonts w:hint="eastAsia" w:hAnsi="宋体" w:cs="宋体"/>
                <w:szCs w:val="21"/>
                <w:vertAlign w:val="superscript"/>
              </w:rPr>
              <w:t>2</w:t>
            </w:r>
            <w:r>
              <w:rPr>
                <w:rFonts w:hint="eastAsia" w:hAnsi="宋体" w:cs="宋体"/>
              </w:rPr>
              <w:t>）</w:t>
            </w:r>
          </w:p>
        </w:tc>
        <w:tc>
          <w:tcPr>
            <w:tcW w:w="5966" w:type="dxa"/>
            <w:gridSpan w:val="3"/>
            <w:vAlign w:val="center"/>
          </w:tcPr>
          <w:p>
            <w:pPr>
              <w:jc w:val="center"/>
              <w:rPr>
                <w:rFonts w:hAnsi="宋体" w:cs="宋体"/>
              </w:rPr>
            </w:pPr>
            <w:r>
              <w:rPr>
                <w:rFonts w:hint="eastAsia" w:hAnsi="宋体" w:cs="宋体"/>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restart"/>
            <w:vAlign w:val="center"/>
          </w:tcPr>
          <w:p>
            <w:pPr>
              <w:jc w:val="center"/>
              <w:rPr>
                <w:rFonts w:hAnsi="宋体" w:cs="宋体"/>
              </w:rPr>
            </w:pPr>
            <w:r>
              <w:rPr>
                <w:rFonts w:hint="eastAsia" w:hAnsi="宋体" w:cs="宋体"/>
              </w:rPr>
              <w:t>抗拉强度</w:t>
            </w:r>
          </w:p>
        </w:tc>
        <w:tc>
          <w:tcPr>
            <w:tcW w:w="1590" w:type="dxa"/>
            <w:vAlign w:val="center"/>
          </w:tcPr>
          <w:p>
            <w:pPr>
              <w:jc w:val="center"/>
              <w:rPr>
                <w:rFonts w:hAnsi="宋体" w:cs="宋体"/>
              </w:rPr>
            </w:pPr>
            <w:r>
              <w:rPr>
                <w:rFonts w:hint="eastAsia" w:hAnsi="宋体" w:cs="宋体"/>
              </w:rPr>
              <w:t>纵向（N/25mm）</w:t>
            </w:r>
          </w:p>
        </w:tc>
        <w:tc>
          <w:tcPr>
            <w:tcW w:w="1559" w:type="dxa"/>
            <w:vAlign w:val="center"/>
          </w:tcPr>
          <w:p>
            <w:pPr>
              <w:jc w:val="center"/>
              <w:rPr>
                <w:rFonts w:hAnsi="宋体" w:cs="宋体"/>
              </w:rPr>
            </w:pPr>
            <w:r>
              <w:rPr>
                <w:rFonts w:hint="eastAsia" w:hAnsi="宋体" w:cs="宋体"/>
              </w:rPr>
              <w:t>350</w:t>
            </w:r>
          </w:p>
        </w:tc>
        <w:tc>
          <w:tcPr>
            <w:tcW w:w="1366" w:type="dxa"/>
            <w:vMerge w:val="restart"/>
            <w:vAlign w:val="center"/>
          </w:tcPr>
          <w:p>
            <w:pPr>
              <w:jc w:val="center"/>
              <w:rPr>
                <w:rFonts w:hAnsi="宋体" w:cs="宋体"/>
              </w:rPr>
            </w:pPr>
            <w:r>
              <w:rPr>
                <w:rFonts w:hint="eastAsia" w:hAnsi="宋体" w:cs="宋体"/>
              </w:rPr>
              <w:t>检测方法</w:t>
            </w: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8" w:type="dxa"/>
            <w:vMerge w:val="continue"/>
            <w:vAlign w:val="center"/>
          </w:tcPr>
          <w:p>
            <w:pPr>
              <w:jc w:val="center"/>
              <w:rPr>
                <w:rFonts w:hAnsi="宋体" w:cs="宋体"/>
              </w:rPr>
            </w:pPr>
          </w:p>
        </w:tc>
        <w:tc>
          <w:tcPr>
            <w:tcW w:w="1590" w:type="dxa"/>
            <w:vAlign w:val="center"/>
          </w:tcPr>
          <w:p>
            <w:pPr>
              <w:jc w:val="center"/>
              <w:rPr>
                <w:rFonts w:hAnsi="宋体" w:cs="宋体"/>
              </w:rPr>
            </w:pPr>
            <w:r>
              <w:rPr>
                <w:rFonts w:hint="eastAsia" w:hAnsi="宋体" w:cs="宋体"/>
              </w:rPr>
              <w:t>横向（N/25mm）</w:t>
            </w:r>
          </w:p>
        </w:tc>
        <w:tc>
          <w:tcPr>
            <w:tcW w:w="1559" w:type="dxa"/>
            <w:vAlign w:val="center"/>
          </w:tcPr>
          <w:p>
            <w:pPr>
              <w:jc w:val="center"/>
              <w:rPr>
                <w:rFonts w:hAnsi="宋体" w:cs="宋体"/>
              </w:rPr>
            </w:pPr>
            <w:r>
              <w:rPr>
                <w:rFonts w:hint="eastAsia" w:hAnsi="宋体" w:cs="宋体"/>
              </w:rPr>
              <w:t>300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GB/T7689.5-2013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顶破强度（N）</w:t>
            </w:r>
          </w:p>
        </w:tc>
        <w:tc>
          <w:tcPr>
            <w:tcW w:w="1559" w:type="dxa"/>
            <w:vAlign w:val="center"/>
          </w:tcPr>
          <w:p>
            <w:pPr>
              <w:jc w:val="center"/>
              <w:rPr>
                <w:rFonts w:hAnsi="宋体" w:cs="宋体"/>
              </w:rPr>
            </w:pPr>
            <w:r>
              <w:rPr>
                <w:rFonts w:hint="eastAsia" w:hAnsi="宋体" w:cs="宋体"/>
              </w:rPr>
              <w:t>150</w:t>
            </w:r>
          </w:p>
        </w:tc>
        <w:tc>
          <w:tcPr>
            <w:tcW w:w="1366" w:type="dxa"/>
            <w:vMerge w:val="continue"/>
            <w:vAlign w:val="center"/>
          </w:tcPr>
          <w:p>
            <w:pPr>
              <w:jc w:val="center"/>
              <w:rPr>
                <w:rFonts w:hAnsi="宋体" w:cs="宋体"/>
              </w:rPr>
            </w:pPr>
          </w:p>
        </w:tc>
        <w:tc>
          <w:tcPr>
            <w:tcW w:w="3041" w:type="dxa"/>
            <w:vAlign w:val="center"/>
          </w:tcPr>
          <w:p>
            <w:pPr>
              <w:jc w:val="center"/>
              <w:rPr>
                <w:rFonts w:hAnsi="宋体" w:cs="宋体"/>
              </w:rPr>
            </w:pPr>
            <w:r>
              <w:rPr>
                <w:rFonts w:hint="eastAsia" w:hAnsi="宋体" w:cs="宋体"/>
              </w:rPr>
              <w:t>JC/T2028-2010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外观</w:t>
            </w:r>
          </w:p>
        </w:tc>
        <w:tc>
          <w:tcPr>
            <w:tcW w:w="5966" w:type="dxa"/>
            <w:gridSpan w:val="3"/>
            <w:vAlign w:val="center"/>
          </w:tcPr>
          <w:p>
            <w:pPr>
              <w:jc w:val="center"/>
              <w:rPr>
                <w:rFonts w:hAnsi="宋体" w:cs="宋体"/>
              </w:rPr>
            </w:pPr>
            <w:r>
              <w:rPr>
                <w:rFonts w:hint="eastAsia" w:hAnsi="宋体" w:cs="宋体"/>
              </w:rPr>
              <w:t>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耐低温性</w:t>
            </w:r>
          </w:p>
        </w:tc>
        <w:tc>
          <w:tcPr>
            <w:tcW w:w="5966" w:type="dxa"/>
            <w:gridSpan w:val="3"/>
            <w:vAlign w:val="center"/>
          </w:tcPr>
          <w:p>
            <w:pPr>
              <w:jc w:val="center"/>
              <w:rPr>
                <w:rFonts w:hAnsi="宋体" w:cs="宋体"/>
              </w:rPr>
            </w:pPr>
            <w:r>
              <w:rPr>
                <w:rFonts w:hint="eastAsia" w:hAnsi="宋体" w:cs="宋体"/>
              </w:rPr>
              <w:t>-18℃、4小时无脱壳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耐高温性</w:t>
            </w:r>
          </w:p>
        </w:tc>
        <w:tc>
          <w:tcPr>
            <w:tcW w:w="5966" w:type="dxa"/>
            <w:gridSpan w:val="3"/>
            <w:vAlign w:val="center"/>
          </w:tcPr>
          <w:p>
            <w:pPr>
              <w:jc w:val="center"/>
              <w:rPr>
                <w:rFonts w:hAnsi="宋体" w:cs="宋体"/>
              </w:rPr>
            </w:pPr>
            <w:r>
              <w:rPr>
                <w:rFonts w:hint="eastAsia" w:hAnsi="宋体" w:cs="宋体"/>
              </w:rPr>
              <w:t>200℃、4小时无脱壳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48" w:type="dxa"/>
            <w:gridSpan w:val="2"/>
            <w:vAlign w:val="center"/>
          </w:tcPr>
          <w:p>
            <w:pPr>
              <w:jc w:val="center"/>
              <w:rPr>
                <w:rFonts w:hAnsi="宋体" w:cs="宋体"/>
              </w:rPr>
            </w:pPr>
            <w:r>
              <w:rPr>
                <w:rFonts w:hint="eastAsia" w:hAnsi="宋体" w:cs="宋体"/>
              </w:rPr>
              <w:t>阻燃性能</w:t>
            </w:r>
          </w:p>
        </w:tc>
        <w:tc>
          <w:tcPr>
            <w:tcW w:w="5966" w:type="dxa"/>
            <w:gridSpan w:val="3"/>
            <w:vAlign w:val="center"/>
          </w:tcPr>
          <w:p>
            <w:pPr>
              <w:jc w:val="center"/>
              <w:rPr>
                <w:rFonts w:hAnsi="宋体" w:cs="宋体"/>
              </w:rPr>
            </w:pPr>
            <w:r>
              <w:rPr>
                <w:rFonts w:hint="eastAsia" w:hAnsi="宋体" w:cs="宋体"/>
              </w:rPr>
              <w:t>离火自熄</w:t>
            </w:r>
          </w:p>
        </w:tc>
      </w:tr>
    </w:tbl>
    <w:p>
      <w:pPr>
        <w:spacing w:line="360" w:lineRule="auto"/>
        <w:rPr>
          <w:rFonts w:hAnsi="宋体"/>
          <w:sz w:val="28"/>
          <w:szCs w:val="28"/>
        </w:rPr>
      </w:pPr>
    </w:p>
    <w:p>
      <w:pPr>
        <w:spacing w:line="360" w:lineRule="auto"/>
        <w:ind w:left="720"/>
        <w:rPr>
          <w:szCs w:val="22"/>
        </w:rPr>
      </w:pPr>
      <w:r>
        <w:rPr>
          <w:rFonts w:hint="eastAsia"/>
          <w:szCs w:val="22"/>
        </w:rPr>
        <w:t>4.3.5纳米气凝胶保温毯，其主要技术要求为：</w:t>
      </w:r>
    </w:p>
    <w:tbl>
      <w:tblPr>
        <w:tblStyle w:val="3"/>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92"/>
        <w:gridCol w:w="1869"/>
        <w:gridCol w:w="3197"/>
        <w:gridCol w:w="193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检测项目</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标准值</w:t>
            </w:r>
          </w:p>
        </w:tc>
        <w:tc>
          <w:tcPr>
            <w:tcW w:w="1932"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参考测试方法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宽度</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≥1500mm(正公差)</w:t>
            </w:r>
          </w:p>
        </w:tc>
        <w:tc>
          <w:tcPr>
            <w:tcW w:w="1932"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厚度</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＞10mm（平均厚度不低于10.5mm）</w:t>
            </w:r>
          </w:p>
        </w:tc>
        <w:tc>
          <w:tcPr>
            <w:tcW w:w="1932"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密度 (kg/m3)</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200±10</w:t>
            </w:r>
          </w:p>
        </w:tc>
        <w:tc>
          <w:tcPr>
            <w:tcW w:w="1932" w:type="dxa"/>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GB/T 5480-2008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92" w:type="dxa"/>
            <w:vMerge w:val="restart"/>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导热系数（w/m·k）</w:t>
            </w:r>
          </w:p>
        </w:tc>
        <w:tc>
          <w:tcPr>
            <w:tcW w:w="1869"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平均温度25℃时</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≤0.02</w:t>
            </w:r>
          </w:p>
        </w:tc>
        <w:tc>
          <w:tcPr>
            <w:tcW w:w="1932" w:type="dxa"/>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GB/T10295-2008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92" w:type="dxa"/>
            <w:vMerge w:val="continue"/>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c>
          <w:tcPr>
            <w:tcW w:w="1869"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平均温度100℃时</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≤0.021</w:t>
            </w:r>
          </w:p>
        </w:tc>
        <w:tc>
          <w:tcPr>
            <w:tcW w:w="1932" w:type="dxa"/>
            <w:vMerge w:val="restart"/>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GB/T10294-2008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92" w:type="dxa"/>
            <w:vMerge w:val="continue"/>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c>
          <w:tcPr>
            <w:tcW w:w="1869"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平均温度200℃时</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≤0.026</w:t>
            </w:r>
          </w:p>
        </w:tc>
        <w:tc>
          <w:tcPr>
            <w:tcW w:w="1932" w:type="dxa"/>
            <w:vMerge w:val="continue"/>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c>
          <w:tcPr>
            <w:tcW w:w="1869"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平均温度300℃时</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≤0.036</w:t>
            </w:r>
          </w:p>
        </w:tc>
        <w:tc>
          <w:tcPr>
            <w:tcW w:w="1932" w:type="dxa"/>
            <w:vMerge w:val="continue"/>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防火等级测试</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通过A1级</w:t>
            </w:r>
          </w:p>
        </w:tc>
        <w:tc>
          <w:tcPr>
            <w:tcW w:w="1932" w:type="dxa"/>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GB 8624-2006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憎水率测试</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≥99</w:t>
            </w:r>
          </w:p>
        </w:tc>
        <w:tc>
          <w:tcPr>
            <w:tcW w:w="1932" w:type="dxa"/>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GB/T10299-2011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氯离子含量 %</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按国家钢管使用材料评判标准</w:t>
            </w:r>
          </w:p>
        </w:tc>
        <w:tc>
          <w:tcPr>
            <w:tcW w:w="1932" w:type="dxa"/>
            <w:tcBorders>
              <w:top w:val="single" w:color="000000" w:sz="2" w:space="0"/>
              <w:left w:val="single" w:color="000000" w:sz="2" w:space="0"/>
              <w:bottom w:val="single" w:color="000000" w:sz="2" w:space="0"/>
              <w:right w:val="single" w:color="000000" w:sz="2" w:space="0"/>
            </w:tcBorders>
            <w:vAlign w:val="center"/>
          </w:tcPr>
          <w:p>
            <w:pPr>
              <w:rPr>
                <w:rFonts w:hAnsi="宋体"/>
                <w:szCs w:val="21"/>
              </w:rPr>
            </w:pPr>
            <w:r>
              <w:rPr>
                <w:rFonts w:hint="eastAsia" w:hAnsi="宋体"/>
                <w:szCs w:val="21"/>
              </w:rPr>
              <w:t>ASTM C871-11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抗拉强度</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≥105Kpa</w:t>
            </w:r>
          </w:p>
        </w:tc>
        <w:tc>
          <w:tcPr>
            <w:tcW w:w="1932"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261" w:type="dxa"/>
            <w:gridSpan w:val="2"/>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抗压强度</w:t>
            </w:r>
          </w:p>
        </w:tc>
        <w:tc>
          <w:tcPr>
            <w:tcW w:w="3197"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r>
              <w:rPr>
                <w:rFonts w:hint="eastAsia" w:hAnsi="宋体"/>
                <w:szCs w:val="21"/>
              </w:rPr>
              <w:t>变形量10%抗压强度≥3.57Kpa；变形量25%抗压强度≥30Kpa</w:t>
            </w:r>
          </w:p>
        </w:tc>
        <w:tc>
          <w:tcPr>
            <w:tcW w:w="1932" w:type="dxa"/>
            <w:tcBorders>
              <w:top w:val="single" w:color="000000" w:sz="2" w:space="0"/>
              <w:left w:val="single" w:color="000000" w:sz="2" w:space="0"/>
              <w:bottom w:val="single" w:color="000000" w:sz="2" w:space="0"/>
              <w:right w:val="single" w:color="000000" w:sz="2" w:space="0"/>
            </w:tcBorders>
            <w:vAlign w:val="center"/>
          </w:tcPr>
          <w:p>
            <w:pPr>
              <w:ind w:firstLine="420"/>
              <w:jc w:val="center"/>
              <w:rPr>
                <w:rFonts w:hAnsi="宋体"/>
                <w:szCs w:val="21"/>
              </w:rPr>
            </w:pPr>
          </w:p>
        </w:tc>
      </w:tr>
    </w:tbl>
    <w:p>
      <w:pPr>
        <w:tabs>
          <w:tab w:val="left" w:pos="0"/>
        </w:tabs>
        <w:spacing w:line="360" w:lineRule="auto"/>
        <w:rPr>
          <w:szCs w:val="22"/>
        </w:rPr>
      </w:pPr>
    </w:p>
    <w:p>
      <w:pPr>
        <w:spacing w:line="360" w:lineRule="auto"/>
        <w:rPr>
          <w:rFonts w:hAnsi="宋体"/>
          <w:sz w:val="28"/>
          <w:szCs w:val="28"/>
        </w:rPr>
      </w:pPr>
    </w:p>
    <w:p>
      <w:pPr>
        <w:tabs>
          <w:tab w:val="left" w:pos="600"/>
          <w:tab w:val="left" w:pos="4440"/>
        </w:tabs>
        <w:spacing w:line="360" w:lineRule="auto"/>
        <w:rPr>
          <w:rFonts w:hAnsi="宋体" w:cs="Arial"/>
          <w:color w:val="000000"/>
        </w:rPr>
      </w:pPr>
      <w:r>
        <w:rPr>
          <w:rFonts w:hint="eastAsia" w:hAnsi="宋体" w:cs="Arial"/>
          <w:color w:val="000000"/>
        </w:rPr>
        <w:t>4.4 焊接及无损检测</w:t>
      </w:r>
    </w:p>
    <w:p>
      <w:pPr>
        <w:tabs>
          <w:tab w:val="left" w:pos="600"/>
          <w:tab w:val="left" w:pos="4440"/>
        </w:tabs>
        <w:spacing w:line="360" w:lineRule="auto"/>
        <w:ind w:firstLine="420" w:firstLineChars="200"/>
        <w:rPr>
          <w:rFonts w:hAnsi="宋体" w:cs="Arial"/>
          <w:color w:val="000000"/>
        </w:rPr>
      </w:pPr>
      <w:r>
        <w:rPr>
          <w:rFonts w:hint="eastAsia" w:hAnsi="宋体" w:cs="Arial"/>
          <w:color w:val="000000"/>
        </w:rPr>
        <w:t>承压焊缝焊接应由取得《锅炉压力容器压力管道焊工考试与管理规则》规定的相应资格的焊工进行。</w:t>
      </w:r>
    </w:p>
    <w:p>
      <w:pPr>
        <w:tabs>
          <w:tab w:val="left" w:pos="600"/>
          <w:tab w:val="left" w:pos="4440"/>
        </w:tabs>
        <w:spacing w:line="360" w:lineRule="auto"/>
        <w:ind w:firstLine="420" w:firstLineChars="200"/>
        <w:rPr>
          <w:rFonts w:hAnsi="宋体" w:cs="Arial"/>
          <w:color w:val="000000"/>
        </w:rPr>
      </w:pPr>
      <w:r>
        <w:rPr>
          <w:rFonts w:hint="eastAsia" w:hAnsi="宋体" w:cs="Arial"/>
          <w:color w:val="000000"/>
        </w:rPr>
        <w:t>焊接接头无损检测应由取得《特种设备无损检测人员考核与监督管理规则》规定的相应资格人员进行。</w:t>
      </w:r>
    </w:p>
    <w:p>
      <w:pPr>
        <w:tabs>
          <w:tab w:val="left" w:pos="600"/>
          <w:tab w:val="left" w:pos="4440"/>
        </w:tabs>
        <w:spacing w:line="360" w:lineRule="auto"/>
        <w:ind w:firstLine="420" w:firstLineChars="200"/>
        <w:rPr>
          <w:rFonts w:hAnsi="宋体" w:cs="Arial"/>
          <w:color w:val="000000"/>
        </w:rPr>
      </w:pPr>
      <w:r>
        <w:rPr>
          <w:rFonts w:hint="eastAsia" w:hAnsi="宋体" w:cs="Arial"/>
          <w:color w:val="000000"/>
        </w:rPr>
        <w:t>焊接接头外观及无损检测应符合GB/T12777-2008和</w:t>
      </w:r>
      <w:r>
        <w:t>NB/T47013-2015</w:t>
      </w:r>
      <w:r>
        <w:rPr>
          <w:rFonts w:hint="eastAsia"/>
        </w:rPr>
        <w:t>《承压设备无损检测》</w:t>
      </w:r>
      <w:r>
        <w:rPr>
          <w:rFonts w:hint="eastAsia" w:hAnsi="宋体" w:cs="Arial"/>
          <w:color w:val="000000"/>
        </w:rPr>
        <w:t>相关条款要求。</w:t>
      </w:r>
    </w:p>
    <w:p>
      <w:pPr>
        <w:spacing w:line="360" w:lineRule="auto"/>
        <w:rPr>
          <w:rFonts w:hAnsi="宋体"/>
        </w:rPr>
      </w:pPr>
      <w:r>
        <w:rPr>
          <w:rFonts w:hint="eastAsia" w:hAnsi="宋体" w:cs="Arial"/>
        </w:rPr>
        <w:t>4.5 蒸汽直埋管的内支架选用钢套钢蒸汽直埋管隔热管托，其参数应满足以下要求：4.5.1</w:t>
      </w:r>
      <w:r>
        <w:rPr>
          <w:rFonts w:hint="eastAsia" w:hAnsi="宋体"/>
        </w:rPr>
        <w:t>高效隔热管托最高温度可承受450℃；</w:t>
      </w:r>
    </w:p>
    <w:p>
      <w:pPr>
        <w:spacing w:line="360" w:lineRule="auto"/>
        <w:rPr>
          <w:rFonts w:hAnsi="宋体"/>
        </w:rPr>
      </w:pPr>
      <w:r>
        <w:rPr>
          <w:rFonts w:hint="eastAsia" w:hAnsi="宋体" w:cs="Arial"/>
        </w:rPr>
        <w:t>4.5.2</w:t>
      </w:r>
      <w:r>
        <w:rPr>
          <w:rFonts w:hint="eastAsia" w:hAnsi="宋体" w:cs="宋体"/>
        </w:rPr>
        <w:t>隔热瓦块的容重≤1100kg/m³</w:t>
      </w:r>
      <w:r>
        <w:rPr>
          <w:rFonts w:hint="eastAsia" w:hAnsi="宋体"/>
        </w:rPr>
        <w:t>；</w:t>
      </w:r>
    </w:p>
    <w:p>
      <w:pPr>
        <w:spacing w:line="360" w:lineRule="auto"/>
        <w:rPr>
          <w:rFonts w:hAnsi="宋体"/>
        </w:rPr>
      </w:pPr>
      <w:r>
        <w:rPr>
          <w:rFonts w:hint="eastAsia" w:hAnsi="宋体" w:cs="Arial"/>
        </w:rPr>
        <w:t>4.5.3</w:t>
      </w:r>
      <w:r>
        <w:rPr>
          <w:rFonts w:hint="eastAsia" w:hAnsi="宋体" w:cs="宋体"/>
        </w:rPr>
        <w:t>隔热瓦块的抗压强度≥6MPa</w:t>
      </w:r>
      <w:r>
        <w:rPr>
          <w:rFonts w:hint="eastAsia" w:hAnsi="宋体"/>
        </w:rPr>
        <w:t>；</w:t>
      </w:r>
    </w:p>
    <w:p>
      <w:pPr>
        <w:spacing w:line="360" w:lineRule="auto"/>
        <w:rPr>
          <w:rFonts w:hAnsi="宋体"/>
        </w:rPr>
      </w:pPr>
      <w:r>
        <w:rPr>
          <w:rFonts w:hint="eastAsia" w:hAnsi="宋体" w:cs="Arial"/>
        </w:rPr>
        <w:t>4.5.4</w:t>
      </w:r>
      <w:r>
        <w:rPr>
          <w:rFonts w:hint="eastAsia" w:hAnsi="宋体" w:cs="宋体"/>
        </w:rPr>
        <w:t>隔热瓦块的抗折强度</w:t>
      </w:r>
      <w:r>
        <w:rPr>
          <w:rFonts w:hint="eastAsia" w:cs="宋体"/>
        </w:rPr>
        <w:t>≥1.5MPa</w:t>
      </w:r>
      <w:r>
        <w:rPr>
          <w:rFonts w:hint="eastAsia" w:hAnsi="宋体"/>
        </w:rPr>
        <w:t>；</w:t>
      </w:r>
    </w:p>
    <w:p>
      <w:pPr>
        <w:spacing w:line="360" w:lineRule="auto"/>
        <w:rPr>
          <w:rFonts w:hAnsi="宋体"/>
        </w:rPr>
      </w:pPr>
      <w:r>
        <w:rPr>
          <w:rFonts w:hint="eastAsia" w:hAnsi="宋体" w:cs="Arial"/>
        </w:rPr>
        <w:t>4.5.5</w:t>
      </w:r>
      <w:r>
        <w:rPr>
          <w:rFonts w:hint="eastAsia" w:hAnsi="宋体" w:cs="宋体"/>
        </w:rPr>
        <w:t>隔热瓦块的导热系数：</w:t>
      </w:r>
      <w:r>
        <w:rPr>
          <w:rFonts w:hint="eastAsia" w:cs="宋体"/>
        </w:rPr>
        <w:t>温度t=350℃时，导热系数≤0.25W/（m·K）</w:t>
      </w:r>
      <w:r>
        <w:rPr>
          <w:rFonts w:hint="eastAsia" w:hAnsi="宋体"/>
        </w:rPr>
        <w:t>。</w:t>
      </w:r>
    </w:p>
    <w:p>
      <w:pPr>
        <w:tabs>
          <w:tab w:val="left" w:pos="567"/>
          <w:tab w:val="left" w:pos="3969"/>
        </w:tabs>
        <w:snapToGrid w:val="0"/>
        <w:spacing w:line="360" w:lineRule="auto"/>
        <w:rPr>
          <w:rFonts w:hAnsi="宋体"/>
        </w:rPr>
      </w:pPr>
      <w:r>
        <w:rPr>
          <w:rFonts w:hint="eastAsia" w:hAnsi="宋体"/>
          <w:bCs/>
        </w:rPr>
        <w:t>4.6蒸</w:t>
      </w:r>
      <w:r>
        <w:rPr>
          <w:rFonts w:hint="eastAsia" w:hAnsi="宋体"/>
        </w:rPr>
        <w:t>汽直埋管的内固定管托可承受最大推力应＞150T，具体制作参见设计院大样图；</w:t>
      </w:r>
    </w:p>
    <w:p>
      <w:pPr>
        <w:spacing w:line="360" w:lineRule="auto"/>
        <w:rPr>
          <w:rFonts w:hAnsi="宋体" w:cs="Arial"/>
        </w:rPr>
      </w:pPr>
      <w:r>
        <w:rPr>
          <w:rFonts w:hint="eastAsia" w:hAnsi="宋体"/>
          <w:bCs/>
        </w:rPr>
        <w:t>4</w:t>
      </w:r>
      <w:r>
        <w:rPr>
          <w:rFonts w:hAnsi="宋体"/>
          <w:bCs/>
        </w:rPr>
        <w:t>.</w:t>
      </w:r>
      <w:r>
        <w:rPr>
          <w:rFonts w:hint="eastAsia" w:hAnsi="宋体"/>
          <w:bCs/>
        </w:rPr>
        <w:t>7</w:t>
      </w:r>
      <w:r>
        <w:rPr>
          <w:rFonts w:hint="eastAsia" w:hAnsi="宋体" w:cs="Arial"/>
        </w:rPr>
        <w:t>蒸汽直埋管道的敷设、导向架、滑动架、疏放水、</w:t>
      </w:r>
      <w:r>
        <w:rPr>
          <w:rFonts w:hint="eastAsia" w:hAnsi="宋体"/>
        </w:rPr>
        <w:t>排潮管</w:t>
      </w:r>
      <w:r>
        <w:rPr>
          <w:rFonts w:hint="eastAsia" w:hAnsi="宋体" w:cs="Arial"/>
        </w:rPr>
        <w:t>制作安装及地埋立管制作安装偏装等必须严格按设计要求进行，具体制作详见设计院施工图阶段的“埋地蒸汽管道制作详图”，投标方的合同价不应因此发生变化。</w:t>
      </w:r>
    </w:p>
    <w:p>
      <w:pPr>
        <w:tabs>
          <w:tab w:val="left" w:pos="0"/>
        </w:tabs>
        <w:spacing w:line="360" w:lineRule="auto"/>
        <w:ind w:right="210" w:rightChars="100"/>
        <w:rPr>
          <w:rFonts w:hAnsi="宋体"/>
        </w:rPr>
      </w:pPr>
      <w:r>
        <w:rPr>
          <w:rFonts w:hint="eastAsia" w:hAnsi="宋体"/>
        </w:rPr>
        <w:t>4.8蒸汽直埋管道必须有专业生产制造厂生产，蒸汽直埋管道的组装、检验等必须严格按照制造厂提供的技术文件要求进行。</w:t>
      </w:r>
    </w:p>
    <w:p>
      <w:pPr>
        <w:spacing w:line="360" w:lineRule="auto"/>
        <w:ind w:right="210" w:rightChars="100"/>
        <w:rPr>
          <w:rFonts w:hAnsi="宋体"/>
        </w:rPr>
      </w:pPr>
      <w:r>
        <w:rPr>
          <w:rFonts w:hint="eastAsia" w:hAnsi="宋体"/>
        </w:rPr>
        <w:t>4.9 根据《城镇供热直埋蒸汽管道技术规程》CJJ/T104-2014。</w:t>
      </w:r>
    </w:p>
    <w:p>
      <w:pPr>
        <w:tabs>
          <w:tab w:val="left" w:pos="0"/>
        </w:tabs>
        <w:spacing w:line="360" w:lineRule="auto"/>
        <w:ind w:right="210" w:rightChars="100"/>
        <w:rPr>
          <w:rFonts w:hAnsi="宋体"/>
        </w:rPr>
      </w:pPr>
      <w:r>
        <w:rPr>
          <w:rFonts w:hint="eastAsia" w:hAnsi="宋体"/>
        </w:rPr>
        <w:t>4.10地埋管外护管的现场补口应采用对接焊，接口焊接应采用氩弧焊打底，并进行100%超声波探伤检验，焊缝内部质量不得低于现行国家标准</w:t>
      </w:r>
      <w:r>
        <w:rPr>
          <w:rFonts w:hint="eastAsia"/>
        </w:rPr>
        <w:t>《承压设备无损检测》</w:t>
      </w:r>
      <w:r>
        <w:t>NB/T47013-2015</w:t>
      </w:r>
      <w:r>
        <w:rPr>
          <w:rFonts w:hint="eastAsia" w:hAnsi="宋体"/>
        </w:rPr>
        <w:t>中Ⅱ级质量要求。</w:t>
      </w:r>
    </w:p>
    <w:p>
      <w:pPr>
        <w:tabs>
          <w:tab w:val="left" w:pos="0"/>
        </w:tabs>
        <w:spacing w:line="360" w:lineRule="auto"/>
        <w:ind w:right="210" w:rightChars="100"/>
        <w:rPr>
          <w:rFonts w:hAnsi="宋体"/>
        </w:rPr>
      </w:pPr>
      <w:r>
        <w:rPr>
          <w:rFonts w:hint="eastAsia" w:hAnsi="宋体"/>
        </w:rPr>
        <w:t>4.11外护管接口应在防腐层之前做气密性试验，试验压力应为0.2MPa。试验应按现行国家标准《工业金属管道工程施工规范》GB50235和《工业金属管道工程施工质量验收规范》GB50184的有关规定执行。</w:t>
      </w:r>
    </w:p>
    <w:p>
      <w:pPr>
        <w:tabs>
          <w:tab w:val="left" w:pos="0"/>
        </w:tabs>
        <w:spacing w:line="360" w:lineRule="auto"/>
        <w:ind w:right="210" w:rightChars="100"/>
        <w:rPr>
          <w:rFonts w:hAnsi="宋体"/>
        </w:rPr>
      </w:pPr>
      <w:r>
        <w:rPr>
          <w:rFonts w:hint="eastAsia" w:hAnsi="宋体"/>
        </w:rPr>
        <w:t>4.12《城镇供热直埋蒸汽管道技术规程》CJJ/T 104-2014，工作管的现场接口焊接应采用氩弧焊打底。焊缝应进行100%X射线探伤检查，焊缝内部质量不得低于现行国家标准</w:t>
      </w:r>
      <w:r>
        <w:rPr>
          <w:rFonts w:hint="eastAsia"/>
        </w:rPr>
        <w:t>《承压设备无损检测》</w:t>
      </w:r>
      <w:r>
        <w:t>NB/T47013-2015</w:t>
      </w:r>
      <w:r>
        <w:rPr>
          <w:rFonts w:hint="eastAsia" w:hAnsi="宋体"/>
        </w:rPr>
        <w:t>中的Ⅱ级质量要求。</w:t>
      </w:r>
    </w:p>
    <w:p>
      <w:pPr>
        <w:tabs>
          <w:tab w:val="left" w:pos="0"/>
        </w:tabs>
        <w:spacing w:line="360" w:lineRule="auto"/>
        <w:ind w:right="210" w:rightChars="100"/>
        <w:rPr>
          <w:rFonts w:hAnsi="宋体"/>
        </w:rPr>
      </w:pPr>
      <w:r>
        <w:rPr>
          <w:rFonts w:hint="eastAsia" w:hAnsi="宋体"/>
        </w:rPr>
        <w:t>4.13排潮管如引出地面，开口应下弯，且弯顶距地面高度不宜小于0.5m，并应采取防倒灌措施。排潮管应设置在不影响交通的地方，且应有明显的标志。排潮管和外护钢套管的地下部分应采取防腐措施，防腐等级不应低于外护管防腐层等级。</w:t>
      </w:r>
    </w:p>
    <w:p>
      <w:pPr>
        <w:tabs>
          <w:tab w:val="left" w:pos="0"/>
        </w:tabs>
        <w:spacing w:line="360" w:lineRule="auto"/>
        <w:ind w:right="210" w:rightChars="100"/>
        <w:rPr>
          <w:rFonts w:hAnsi="宋体"/>
        </w:rPr>
      </w:pPr>
      <w:r>
        <w:rPr>
          <w:rFonts w:hint="eastAsia" w:hAnsi="宋体"/>
        </w:rPr>
        <w:t>4.14外护管补口前应对补口段进行预处理，除锈等级符合现行国家标准《涂敷涂料前钢材表面处理 表面清洁度的目视评定 第1部分：未涂覆的钢材表面和全面清除原有涂层后的钢材表面的锈蚀等级和处理等级》GB/T 8923.1中St3级的要求。补口预处理完后，应及时进行防腐，防腐等级应与外护管相同，防腐材料应与外护管材料一致或相匹配。防腐层应采用电火花检漏仪检测，其耐击穿电压水平与直管段一致。</w:t>
      </w:r>
    </w:p>
    <w:p>
      <w:pPr>
        <w:tabs>
          <w:tab w:val="left" w:pos="567"/>
          <w:tab w:val="left" w:pos="3969"/>
        </w:tabs>
        <w:snapToGrid w:val="0"/>
        <w:spacing w:line="360" w:lineRule="auto"/>
        <w:rPr>
          <w:rFonts w:hAnsi="宋体"/>
        </w:rPr>
      </w:pPr>
      <w:r>
        <w:rPr>
          <w:rFonts w:hint="eastAsia" w:hAnsi="宋体"/>
        </w:rPr>
        <w:t xml:space="preserve">4.15埋地蒸汽管道内芯管的管件必须采用无缝弯头和成形三通。 </w:t>
      </w:r>
    </w:p>
    <w:p>
      <w:pPr>
        <w:tabs>
          <w:tab w:val="left" w:pos="567"/>
          <w:tab w:val="left" w:pos="3969"/>
        </w:tabs>
        <w:snapToGrid w:val="0"/>
        <w:spacing w:line="360" w:lineRule="auto"/>
        <w:rPr>
          <w:rFonts w:hAnsi="宋体"/>
        </w:rPr>
      </w:pPr>
      <w:r>
        <w:rPr>
          <w:rFonts w:hint="eastAsia" w:hAnsi="宋体"/>
        </w:rPr>
        <w:t>4.16所有埋地管道必须满足买方对以上管道系统、布置、调试等方面的设计要求；满足有关埋地管道管材、管件原材料、加工制作、焊接、安装等验收标准和规范（规程）的要求；满足施工单位对运输、装卸、安装、调试等的一些特殊要求。以上标准有矛盾时按照更高标准执行。</w:t>
      </w:r>
    </w:p>
    <w:p>
      <w:pPr>
        <w:tabs>
          <w:tab w:val="left" w:pos="567"/>
          <w:tab w:val="left" w:pos="3969"/>
        </w:tabs>
        <w:snapToGrid w:val="0"/>
        <w:spacing w:line="360" w:lineRule="auto"/>
        <w:rPr>
          <w:rFonts w:hAnsi="宋体"/>
        </w:rPr>
      </w:pPr>
      <w:r>
        <w:rPr>
          <w:rFonts w:hint="eastAsia" w:hAnsi="宋体"/>
        </w:rPr>
        <w:t>4.17 管道端部坡口形式和技术要求符合现行相关标准和技术规范，加工前需由买方确认后方可加工，管道端部需封闭坚固严密，防止碰伤。</w:t>
      </w:r>
    </w:p>
    <w:p>
      <w:pPr>
        <w:tabs>
          <w:tab w:val="left" w:pos="567"/>
          <w:tab w:val="left" w:pos="3969"/>
        </w:tabs>
        <w:snapToGrid w:val="0"/>
        <w:spacing w:line="360" w:lineRule="auto"/>
        <w:rPr>
          <w:rFonts w:hAnsi="宋体"/>
        </w:rPr>
      </w:pPr>
      <w:r>
        <w:rPr>
          <w:rFonts w:hint="eastAsia" w:hAnsi="宋体"/>
        </w:rPr>
        <w:t>4.18直埋预制钢管芯管两端露头的长度各为20～25cm，卖方还应负责提供接头的外套管、保温材料、外套管补口的现场除锈防腐工作及安装技术指导。</w:t>
      </w:r>
    </w:p>
    <w:p>
      <w:pPr>
        <w:tabs>
          <w:tab w:val="left" w:pos="567"/>
          <w:tab w:val="left" w:pos="3969"/>
        </w:tabs>
        <w:snapToGrid w:val="0"/>
        <w:spacing w:line="360" w:lineRule="auto"/>
        <w:rPr>
          <w:rFonts w:hAnsi="宋体"/>
        </w:rPr>
      </w:pPr>
      <w:r>
        <w:rPr>
          <w:rFonts w:hint="eastAsia" w:hAnsi="宋体"/>
        </w:rPr>
        <w:t>4.19卖方应提供提供配管焊口检验报告及相应的拍片报告。</w:t>
      </w:r>
    </w:p>
    <w:p>
      <w:pPr>
        <w:tabs>
          <w:tab w:val="left" w:pos="567"/>
          <w:tab w:val="left" w:pos="3969"/>
        </w:tabs>
        <w:snapToGrid w:val="0"/>
        <w:spacing w:line="360" w:lineRule="auto"/>
        <w:rPr>
          <w:rFonts w:hAnsi="宋体"/>
          <w:b/>
        </w:rPr>
      </w:pPr>
      <w:r>
        <w:rPr>
          <w:rFonts w:hint="eastAsia" w:hAnsi="宋体"/>
        </w:rPr>
        <w:t>4.20成品直埋预制钢管上应有</w:t>
      </w:r>
      <w:r>
        <w:rPr>
          <w:rFonts w:hint="eastAsia" w:hAnsi="宋体"/>
          <w:b/>
        </w:rPr>
        <w:t>直埋预制钢管制造厂批号</w:t>
      </w:r>
      <w:r>
        <w:rPr>
          <w:rFonts w:hint="eastAsia" w:hAnsi="宋体"/>
        </w:rPr>
        <w:t>标志，</w:t>
      </w:r>
      <w:r>
        <w:rPr>
          <w:rFonts w:hint="eastAsia" w:hAnsi="宋体"/>
          <w:b/>
        </w:rPr>
        <w:t>并做好各管托位置标记；</w:t>
      </w:r>
    </w:p>
    <w:p>
      <w:pPr>
        <w:tabs>
          <w:tab w:val="left" w:pos="567"/>
          <w:tab w:val="left" w:pos="3969"/>
        </w:tabs>
        <w:snapToGrid w:val="0"/>
        <w:spacing w:line="360" w:lineRule="auto"/>
        <w:rPr>
          <w:rFonts w:hAnsi="宋体"/>
          <w:b/>
        </w:rPr>
      </w:pPr>
      <w:r>
        <w:rPr>
          <w:rFonts w:hint="eastAsia" w:hAnsi="宋体"/>
        </w:rPr>
        <w:t>4.21运送到现场的直埋预制钢管外两端封头应用</w:t>
      </w:r>
      <w:r>
        <w:rPr>
          <w:rFonts w:hint="eastAsia" w:hAnsi="宋体"/>
          <w:b/>
        </w:rPr>
        <w:t>彩钢板和玻璃胶</w:t>
      </w:r>
      <w:r>
        <w:rPr>
          <w:rFonts w:hint="eastAsia" w:hAnsi="宋体"/>
        </w:rPr>
        <w:t>进行密封，</w:t>
      </w:r>
      <w:r>
        <w:rPr>
          <w:rFonts w:hint="eastAsia" w:hAnsi="宋体"/>
          <w:b/>
        </w:rPr>
        <w:t>其彩钢板厚度不得低于0.5mm。</w:t>
      </w:r>
    </w:p>
    <w:p>
      <w:pPr>
        <w:tabs>
          <w:tab w:val="left" w:pos="567"/>
          <w:tab w:val="left" w:pos="3969"/>
        </w:tabs>
        <w:snapToGrid w:val="0"/>
        <w:spacing w:line="360" w:lineRule="auto"/>
        <w:rPr>
          <w:rFonts w:hAnsi="宋体"/>
          <w:b/>
        </w:rPr>
      </w:pPr>
      <w:r>
        <w:rPr>
          <w:rFonts w:hint="eastAsia" w:hAnsi="宋体"/>
          <w:b/>
        </w:rPr>
        <w:t>4.22直埋预制钢管的检验比例10%（其检验试验为电火花试验）。</w:t>
      </w:r>
    </w:p>
    <w:p>
      <w:pPr>
        <w:tabs>
          <w:tab w:val="left" w:pos="567"/>
          <w:tab w:val="left" w:pos="3969"/>
        </w:tabs>
        <w:snapToGrid w:val="0"/>
        <w:spacing w:line="360" w:lineRule="auto"/>
        <w:rPr>
          <w:rFonts w:hAnsi="宋体"/>
        </w:rPr>
      </w:pPr>
      <w:r>
        <w:rPr>
          <w:rFonts w:hint="eastAsia" w:hAnsi="宋体"/>
        </w:rPr>
        <w:t>4.23施工过程中可能存在因施工条件所限，管段长度有非常规需要，卖方应给予满足，合同总价不得发生变化。</w:t>
      </w:r>
    </w:p>
    <w:p>
      <w:pPr>
        <w:tabs>
          <w:tab w:val="left" w:pos="567"/>
          <w:tab w:val="left" w:pos="3969"/>
        </w:tabs>
        <w:snapToGrid w:val="0"/>
        <w:spacing w:line="360" w:lineRule="auto"/>
        <w:rPr>
          <w:rFonts w:hAnsi="宋体"/>
        </w:rPr>
      </w:pPr>
      <w:r>
        <w:rPr>
          <w:rFonts w:hint="eastAsia" w:hAnsi="宋体"/>
        </w:rPr>
        <w:t xml:space="preserve">    以上列出的仅为通用标准，卖方如有相关的部门或工厂标准，原则上不应低于上述的通用标准。</w:t>
      </w:r>
    </w:p>
    <w:p>
      <w:pPr>
        <w:tabs>
          <w:tab w:val="left" w:pos="567"/>
          <w:tab w:val="left" w:pos="3969"/>
        </w:tabs>
        <w:snapToGrid w:val="0"/>
        <w:spacing w:line="360" w:lineRule="auto"/>
        <w:rPr>
          <w:rFonts w:hAnsi="宋体"/>
        </w:rPr>
      </w:pPr>
      <w:r>
        <w:rPr>
          <w:rFonts w:hint="eastAsia" w:hAnsi="宋体"/>
        </w:rPr>
        <w:tab/>
      </w:r>
      <w:r>
        <w:rPr>
          <w:rFonts w:hint="eastAsia" w:hAnsi="宋体"/>
        </w:rPr>
        <w:t>如在制作前有新版本的标准规范发行，按最新版本的标准规范执行。</w:t>
      </w:r>
    </w:p>
    <w:p>
      <w:pPr>
        <w:pStyle w:val="2"/>
        <w:spacing w:line="360" w:lineRule="auto"/>
        <w:rPr>
          <w:rFonts w:hAnsi="宋体"/>
          <w:szCs w:val="24"/>
        </w:rPr>
      </w:pPr>
      <w:r>
        <w:rPr>
          <w:rFonts w:hint="eastAsia" w:hAnsi="宋体"/>
          <w:szCs w:val="24"/>
        </w:rPr>
        <w:t>4.24</w:t>
      </w:r>
      <w:r>
        <w:rPr>
          <w:rFonts w:hAnsi="宋体"/>
          <w:szCs w:val="24"/>
        </w:rPr>
        <w:t>管道除锈</w:t>
      </w:r>
    </w:p>
    <w:p>
      <w:pPr>
        <w:spacing w:line="360" w:lineRule="auto"/>
        <w:ind w:firstLine="480"/>
        <w:rPr>
          <w:rFonts w:hAnsi="宋体"/>
        </w:rPr>
      </w:pPr>
      <w:r>
        <w:rPr>
          <w:rFonts w:hAnsi="宋体"/>
          <w:color w:val="000000"/>
        </w:rPr>
        <w:t>（1）</w:t>
      </w:r>
      <w:r>
        <w:rPr>
          <w:rFonts w:hAnsi="宋体"/>
        </w:rPr>
        <w:t>除锈前，应先除去任何油脂或其他可溶性污染物质。表面的焊渣、突出物、毛刺等影响防腐层质量的不平粗糙物应予挫平或磨平，但不得伤及母材；除锈后，应将表面附着的灰尘及磨料清扫干净，并防止涂敷前表面受潮、生锈或二次污染；</w:t>
      </w:r>
    </w:p>
    <w:p>
      <w:pPr>
        <w:spacing w:line="360" w:lineRule="auto"/>
        <w:ind w:firstLine="480"/>
        <w:rPr>
          <w:rFonts w:hAnsi="宋体"/>
        </w:rPr>
      </w:pPr>
      <w:r>
        <w:rPr>
          <w:rFonts w:hAnsi="宋体"/>
        </w:rPr>
        <w:t>（2）表面温度应高于露点温度3</w:t>
      </w:r>
      <w:r>
        <w:rPr>
          <w:rFonts w:hint="eastAsia" w:hAnsi="宋体" w:cs="宋体"/>
        </w:rPr>
        <w:t>℃</w:t>
      </w:r>
      <w:r>
        <w:rPr>
          <w:rFonts w:hAnsi="宋体"/>
        </w:rPr>
        <w:t>以上且相对湿度应低于85%方可进行除锈作业；</w:t>
      </w:r>
    </w:p>
    <w:p>
      <w:pPr>
        <w:spacing w:line="360" w:lineRule="auto"/>
        <w:ind w:firstLine="480"/>
        <w:rPr>
          <w:rFonts w:hAnsi="宋体"/>
        </w:rPr>
      </w:pPr>
      <w:r>
        <w:rPr>
          <w:rFonts w:hAnsi="宋体"/>
        </w:rPr>
        <w:t>（3）除锈合格的表面一般应在8h内进行防腐层的涂敷，如果出现返锈，必须重新进行表面处理；</w:t>
      </w:r>
    </w:p>
    <w:p>
      <w:pPr>
        <w:spacing w:line="360" w:lineRule="auto"/>
        <w:ind w:firstLine="480"/>
        <w:rPr>
          <w:rFonts w:hAnsi="宋体"/>
        </w:rPr>
      </w:pPr>
      <w:r>
        <w:rPr>
          <w:rFonts w:hAnsi="宋体"/>
        </w:rPr>
        <w:t>（4）地埋蒸汽管道工作管表面除锈按HG/T20679－2014</w:t>
      </w:r>
      <w:r>
        <w:rPr>
          <w:rFonts w:hint="eastAsia" w:hAnsi="宋体"/>
        </w:rPr>
        <w:t>《</w:t>
      </w:r>
      <w:r>
        <w:rPr>
          <w:rFonts w:hAnsi="宋体"/>
        </w:rPr>
        <w:t>化工设备、管道外防腐设计规范</w:t>
      </w:r>
      <w:r>
        <w:rPr>
          <w:rFonts w:hint="eastAsia" w:hAnsi="宋体"/>
        </w:rPr>
        <w:t>》</w:t>
      </w:r>
      <w:r>
        <w:rPr>
          <w:rFonts w:hAnsi="宋体"/>
        </w:rPr>
        <w:t>中的</w:t>
      </w:r>
      <w:r>
        <w:rPr>
          <w:rFonts w:hint="eastAsia" w:hAnsi="宋体"/>
        </w:rPr>
        <w:t>Sa2</w:t>
      </w:r>
      <w:r>
        <w:rPr>
          <w:rFonts w:hAnsi="宋体"/>
        </w:rPr>
        <w:t>.</w:t>
      </w:r>
      <w:r>
        <w:rPr>
          <w:rFonts w:hint="eastAsia" w:hAnsi="宋体"/>
        </w:rPr>
        <w:t>5</w:t>
      </w:r>
      <w:r>
        <w:rPr>
          <w:rFonts w:hAnsi="宋体"/>
        </w:rPr>
        <w:t>级进行；</w:t>
      </w:r>
      <w:r>
        <w:rPr>
          <w:rFonts w:hint="eastAsia"/>
        </w:rPr>
        <w:t xml:space="preserve"> </w:t>
      </w:r>
    </w:p>
    <w:p>
      <w:pPr>
        <w:spacing w:line="360" w:lineRule="auto"/>
        <w:ind w:firstLine="480"/>
        <w:rPr>
          <w:rFonts w:hAnsi="宋体"/>
          <w:color w:val="000000"/>
        </w:rPr>
      </w:pPr>
      <w:r>
        <w:rPr>
          <w:rFonts w:hAnsi="宋体"/>
        </w:rPr>
        <w:t>（5）地埋蒸汽管道外护管表面喷砂或抛丸除锈后，满足SY/T0407—2012标准中的Sa2.5级，表面无气孔、无裂纹等缺陷</w:t>
      </w:r>
      <w:r>
        <w:rPr>
          <w:rFonts w:hint="eastAsia" w:hAnsi="宋体"/>
        </w:rPr>
        <w:t>；</w:t>
      </w:r>
    </w:p>
    <w:p>
      <w:pPr>
        <w:spacing w:line="360" w:lineRule="auto"/>
        <w:ind w:firstLine="480"/>
        <w:rPr>
          <w:rFonts w:hAnsi="宋体"/>
        </w:rPr>
      </w:pPr>
      <w:r>
        <w:rPr>
          <w:rFonts w:hAnsi="宋体"/>
        </w:rPr>
        <w:t>（6）钢质外护管补口段钢质外套管的除锈等级要求与直管段相同。</w:t>
      </w:r>
    </w:p>
    <w:p>
      <w:pPr>
        <w:tabs>
          <w:tab w:val="left" w:pos="567"/>
          <w:tab w:val="left" w:pos="3969"/>
        </w:tabs>
        <w:snapToGrid w:val="0"/>
        <w:spacing w:line="360" w:lineRule="auto"/>
        <w:rPr>
          <w:rFonts w:hAnsi="宋体"/>
          <w:b/>
          <w:bCs/>
        </w:rPr>
      </w:pPr>
      <w:r>
        <w:rPr>
          <w:rFonts w:hint="eastAsia" w:hAnsi="宋体"/>
          <w:b/>
          <w:bCs/>
        </w:rPr>
        <w:t>5</w:t>
      </w:r>
      <w:r>
        <w:rPr>
          <w:rFonts w:hAnsi="宋体"/>
          <w:b/>
          <w:bCs/>
        </w:rPr>
        <w:t xml:space="preserve"> </w:t>
      </w:r>
      <w:r>
        <w:rPr>
          <w:rFonts w:hint="eastAsia" w:hAnsi="宋体"/>
          <w:b/>
          <w:bCs/>
        </w:rPr>
        <w:t>直埋预制管的检验</w:t>
      </w:r>
    </w:p>
    <w:p>
      <w:pPr>
        <w:tabs>
          <w:tab w:val="left" w:pos="600"/>
          <w:tab w:val="left" w:pos="4440"/>
        </w:tabs>
        <w:spacing w:line="360" w:lineRule="auto"/>
        <w:rPr>
          <w:rFonts w:hAnsi="宋体"/>
          <w:bCs/>
        </w:rPr>
      </w:pPr>
      <w:r>
        <w:rPr>
          <w:rFonts w:hint="eastAsia" w:hAnsi="宋体"/>
          <w:bCs/>
        </w:rPr>
        <w:t>5.1  直埋预制钢管进工程现场前验收及复验，内容为：</w:t>
      </w:r>
    </w:p>
    <w:p>
      <w:pPr>
        <w:tabs>
          <w:tab w:val="left" w:pos="600"/>
          <w:tab w:val="left" w:pos="4440"/>
        </w:tabs>
        <w:spacing w:line="360" w:lineRule="auto"/>
        <w:rPr>
          <w:rFonts w:hAnsi="宋体"/>
          <w:bCs/>
        </w:rPr>
      </w:pPr>
      <w:r>
        <w:rPr>
          <w:rFonts w:hint="eastAsia" w:hAnsi="宋体"/>
          <w:bCs/>
        </w:rPr>
        <w:tab/>
      </w:r>
      <w:r>
        <w:rPr>
          <w:rFonts w:hint="eastAsia" w:hAnsi="宋体"/>
          <w:bCs/>
        </w:rPr>
        <w:t>（1） 直埋预制钢管管材的外观和几何尺寸检查,壁厚测量（含采购方提供钢管及卖方所提供的钢管）（不少于3个断面）。</w:t>
      </w:r>
    </w:p>
    <w:p>
      <w:pPr>
        <w:tabs>
          <w:tab w:val="left" w:pos="600"/>
          <w:tab w:val="left" w:pos="4440"/>
        </w:tabs>
        <w:spacing w:line="360" w:lineRule="auto"/>
        <w:rPr>
          <w:rFonts w:hAnsi="宋体"/>
          <w:bCs/>
        </w:rPr>
      </w:pPr>
      <w:r>
        <w:rPr>
          <w:rFonts w:hint="eastAsia" w:hAnsi="宋体"/>
          <w:bCs/>
        </w:rPr>
        <w:tab/>
      </w:r>
      <w:r>
        <w:rPr>
          <w:rFonts w:hint="eastAsia" w:hAnsi="宋体"/>
          <w:bCs/>
        </w:rPr>
        <w:t>（2） 直埋预制钢管内保温厚度及保温层数的核实。</w:t>
      </w:r>
    </w:p>
    <w:p>
      <w:pPr>
        <w:tabs>
          <w:tab w:val="left" w:pos="600"/>
          <w:tab w:val="left" w:pos="4440"/>
        </w:tabs>
        <w:spacing w:line="360" w:lineRule="auto"/>
        <w:rPr>
          <w:rFonts w:hAnsi="宋体"/>
          <w:bCs/>
        </w:rPr>
      </w:pPr>
      <w:r>
        <w:rPr>
          <w:rFonts w:hint="eastAsia" w:hAnsi="宋体"/>
          <w:bCs/>
        </w:rPr>
        <w:t xml:space="preserve">     （3） 直埋预制钢管的外防腐层的结构及厚度检测。</w:t>
      </w:r>
    </w:p>
    <w:p>
      <w:pPr>
        <w:tabs>
          <w:tab w:val="left" w:pos="600"/>
          <w:tab w:val="left" w:pos="4440"/>
        </w:tabs>
        <w:spacing w:line="360" w:lineRule="auto"/>
        <w:rPr>
          <w:rFonts w:hAnsi="宋体"/>
          <w:bCs/>
        </w:rPr>
      </w:pPr>
      <w:r>
        <w:rPr>
          <w:rFonts w:hint="eastAsia" w:hAnsi="宋体"/>
          <w:bCs/>
        </w:rPr>
        <w:tab/>
      </w:r>
      <w:r>
        <w:rPr>
          <w:rFonts w:hint="eastAsia" w:hAnsi="宋体"/>
          <w:bCs/>
        </w:rPr>
        <w:t>（4） 其余项目按《火力发电厂金属技术监督规程》要求进行验收。</w:t>
      </w:r>
    </w:p>
    <w:p>
      <w:pPr>
        <w:tabs>
          <w:tab w:val="left" w:pos="600"/>
          <w:tab w:val="left" w:pos="4440"/>
        </w:tabs>
        <w:spacing w:line="360" w:lineRule="auto"/>
        <w:rPr>
          <w:rFonts w:hAnsi="宋体"/>
          <w:bCs/>
        </w:rPr>
      </w:pPr>
      <w:r>
        <w:rPr>
          <w:rFonts w:hint="eastAsia" w:hAnsi="宋体"/>
          <w:bCs/>
        </w:rPr>
        <w:t>5.2 卖方应有健全的质量管理体系，并通过ISO9000系列质量管理体系认证，在产品生产和服务时要严格执行质量体系程序文件。</w:t>
      </w:r>
    </w:p>
    <w:p>
      <w:pPr>
        <w:tabs>
          <w:tab w:val="left" w:pos="600"/>
          <w:tab w:val="left" w:pos="4440"/>
        </w:tabs>
        <w:spacing w:line="360" w:lineRule="auto"/>
        <w:rPr>
          <w:rFonts w:hAnsi="宋体"/>
          <w:bCs/>
        </w:rPr>
      </w:pPr>
      <w:r>
        <w:rPr>
          <w:rFonts w:hint="eastAsia" w:hAnsi="宋体"/>
          <w:bCs/>
        </w:rPr>
        <w:t>5.3 关于卖方提供的不在采购方规格内的钢管必须有合格证书并提供如下质量证明记录，内容至少应包括但不限于：</w:t>
      </w:r>
    </w:p>
    <w:p>
      <w:pPr>
        <w:tabs>
          <w:tab w:val="left" w:pos="600"/>
          <w:tab w:val="left" w:pos="4440"/>
        </w:tabs>
        <w:spacing w:line="360" w:lineRule="auto"/>
        <w:rPr>
          <w:rFonts w:hAnsi="宋体"/>
          <w:bCs/>
        </w:rPr>
      </w:pPr>
      <w:r>
        <w:rPr>
          <w:rFonts w:hint="eastAsia" w:hAnsi="宋体"/>
          <w:bCs/>
        </w:rPr>
        <w:t>原材料记录：</w:t>
      </w:r>
    </w:p>
    <w:p>
      <w:pPr>
        <w:tabs>
          <w:tab w:val="left" w:pos="600"/>
          <w:tab w:val="left" w:pos="4440"/>
        </w:tabs>
        <w:spacing w:line="360" w:lineRule="auto"/>
        <w:rPr>
          <w:rFonts w:hAnsi="宋体"/>
          <w:bCs/>
        </w:rPr>
      </w:pPr>
      <w:r>
        <w:rPr>
          <w:rFonts w:hint="eastAsia" w:hAnsi="宋体"/>
          <w:bCs/>
        </w:rPr>
        <w:tab/>
      </w:r>
      <w:r>
        <w:rPr>
          <w:rFonts w:hint="eastAsia" w:hAnsi="宋体"/>
          <w:bCs/>
        </w:rPr>
        <w:t>(1) 全部管径管材的外观和几何尺寸检查,壁厚测量记录。</w:t>
      </w:r>
    </w:p>
    <w:p>
      <w:pPr>
        <w:tabs>
          <w:tab w:val="left" w:pos="600"/>
          <w:tab w:val="left" w:pos="4440"/>
        </w:tabs>
        <w:spacing w:line="360" w:lineRule="auto"/>
        <w:rPr>
          <w:rFonts w:hAnsi="宋体"/>
          <w:bCs/>
        </w:rPr>
      </w:pPr>
      <w:r>
        <w:rPr>
          <w:rFonts w:hint="eastAsia" w:hAnsi="宋体"/>
          <w:bCs/>
        </w:rPr>
        <w:tab/>
      </w:r>
      <w:r>
        <w:rPr>
          <w:rFonts w:hint="eastAsia" w:hAnsi="宋体"/>
          <w:bCs/>
        </w:rPr>
        <w:t>(2) 全部管径管材的硬度检验记录。</w:t>
      </w:r>
    </w:p>
    <w:p>
      <w:pPr>
        <w:tabs>
          <w:tab w:val="left" w:pos="600"/>
          <w:tab w:val="left" w:pos="4440"/>
        </w:tabs>
        <w:spacing w:line="360" w:lineRule="auto"/>
        <w:rPr>
          <w:rFonts w:hAnsi="宋体"/>
          <w:bCs/>
        </w:rPr>
      </w:pPr>
      <w:r>
        <w:rPr>
          <w:rFonts w:hint="eastAsia" w:hAnsi="宋体"/>
          <w:bCs/>
        </w:rPr>
        <w:t xml:space="preserve">     (3) 超声波探伤检验、射线探伤检验、漏磁探伤检验报告。</w:t>
      </w:r>
    </w:p>
    <w:p>
      <w:pPr>
        <w:tabs>
          <w:tab w:val="left" w:pos="600"/>
          <w:tab w:val="left" w:pos="4440"/>
        </w:tabs>
        <w:spacing w:line="360" w:lineRule="auto"/>
        <w:ind w:firstLine="525" w:firstLineChars="250"/>
        <w:rPr>
          <w:rFonts w:hAnsi="宋体"/>
          <w:bCs/>
        </w:rPr>
      </w:pPr>
      <w:r>
        <w:rPr>
          <w:rFonts w:hint="eastAsia" w:hAnsi="宋体"/>
          <w:bCs/>
        </w:rPr>
        <w:t>(4) 材料的化学成份报告。</w:t>
      </w:r>
    </w:p>
    <w:p>
      <w:pPr>
        <w:tabs>
          <w:tab w:val="left" w:pos="600"/>
          <w:tab w:val="left" w:pos="4440"/>
        </w:tabs>
        <w:spacing w:line="360" w:lineRule="auto"/>
        <w:ind w:firstLine="525" w:firstLineChars="250"/>
        <w:rPr>
          <w:rFonts w:hAnsi="宋体"/>
          <w:bCs/>
        </w:rPr>
      </w:pPr>
      <w:r>
        <w:rPr>
          <w:rFonts w:hint="eastAsia" w:hAnsi="宋体"/>
          <w:bCs/>
        </w:rPr>
        <w:t>(5) 金相组织报告。</w:t>
      </w:r>
    </w:p>
    <w:p>
      <w:pPr>
        <w:tabs>
          <w:tab w:val="left" w:pos="600"/>
          <w:tab w:val="left" w:pos="4440"/>
        </w:tabs>
        <w:spacing w:line="360" w:lineRule="auto"/>
        <w:ind w:firstLine="525" w:firstLineChars="250"/>
        <w:rPr>
          <w:rFonts w:hAnsi="宋体"/>
          <w:bCs/>
        </w:rPr>
      </w:pPr>
      <w:r>
        <w:rPr>
          <w:rFonts w:hint="eastAsia" w:hAnsi="宋体"/>
          <w:bCs/>
        </w:rPr>
        <w:t>(6) 机械性能报告。</w:t>
      </w:r>
    </w:p>
    <w:p>
      <w:pPr>
        <w:tabs>
          <w:tab w:val="left" w:pos="600"/>
          <w:tab w:val="left" w:pos="4440"/>
        </w:tabs>
        <w:spacing w:line="360" w:lineRule="auto"/>
        <w:ind w:firstLine="525" w:firstLineChars="250"/>
        <w:rPr>
          <w:rFonts w:hAnsi="宋体"/>
          <w:bCs/>
        </w:rPr>
      </w:pPr>
      <w:r>
        <w:rPr>
          <w:rFonts w:hint="eastAsia" w:hAnsi="宋体"/>
          <w:bCs/>
        </w:rPr>
        <w:t>(7) 提供所有管材原产地证明、生产厂家证明。</w:t>
      </w:r>
    </w:p>
    <w:p>
      <w:pPr>
        <w:tabs>
          <w:tab w:val="left" w:pos="600"/>
          <w:tab w:val="left" w:pos="4440"/>
        </w:tabs>
        <w:spacing w:line="360" w:lineRule="auto"/>
        <w:ind w:firstLine="525" w:firstLineChars="250"/>
        <w:rPr>
          <w:rFonts w:hAnsi="宋体"/>
          <w:bCs/>
        </w:rPr>
      </w:pPr>
      <w:r>
        <w:rPr>
          <w:rFonts w:hint="eastAsia" w:hAnsi="宋体"/>
          <w:bCs/>
        </w:rPr>
        <w:t>(8) 提供管道材料化学成分、机械性能、弯曲试验( 螺旋焊缝导向弯曲试验、焊管钢带/钢板对头焊缝导向弯曲试验)、静水压试验、拉伸试验(钢级高于L175或A25的焊管管体拉伸试验、焊管螺旋焊缝拉伸试验、焊管用钢带(卷) /钢板对头焊缝拉伸试验)、冷成型焊管的硬块硬度试验、螺旋焊缝宏观检验。</w:t>
      </w:r>
    </w:p>
    <w:p>
      <w:pPr>
        <w:tabs>
          <w:tab w:val="left" w:pos="600"/>
          <w:tab w:val="left" w:pos="4440"/>
        </w:tabs>
        <w:spacing w:line="360" w:lineRule="auto"/>
        <w:rPr>
          <w:rFonts w:hAnsi="宋体"/>
          <w:bCs/>
        </w:rPr>
      </w:pPr>
      <w:r>
        <w:rPr>
          <w:rFonts w:hint="eastAsia" w:hAnsi="宋体"/>
          <w:bCs/>
        </w:rPr>
        <w:t>5.4  直埋预制钢管应有完整的质量证明书。</w:t>
      </w:r>
    </w:p>
    <w:p>
      <w:pPr>
        <w:tabs>
          <w:tab w:val="left" w:pos="600"/>
          <w:tab w:val="left" w:pos="4440"/>
        </w:tabs>
        <w:spacing w:line="360" w:lineRule="auto"/>
        <w:rPr>
          <w:rFonts w:hAnsi="宋体"/>
          <w:bCs/>
        </w:rPr>
      </w:pPr>
      <w:r>
        <w:rPr>
          <w:rFonts w:hint="eastAsia" w:hAnsi="宋体"/>
          <w:bCs/>
        </w:rPr>
        <w:t>5.5  直埋预制钢管卖方须同意业主及设计单位随时参与建造过程进行监督工作，不得以任何理由及借口予以推脱，所产生费用由卖方承担，合同总价不发生变化。</w:t>
      </w:r>
    </w:p>
    <w:p>
      <w:pPr>
        <w:tabs>
          <w:tab w:val="left" w:pos="600"/>
          <w:tab w:val="left" w:pos="4440"/>
        </w:tabs>
        <w:spacing w:line="360" w:lineRule="auto"/>
        <w:rPr>
          <w:rFonts w:hAnsi="宋体"/>
          <w:bCs/>
        </w:rPr>
      </w:pPr>
      <w:r>
        <w:rPr>
          <w:rFonts w:hint="eastAsia" w:hAnsi="宋体"/>
          <w:bCs/>
        </w:rPr>
        <w:t>5.6  直埋预制管卖方应提供当地质检部门的监造报告（如无损检测等等）。</w:t>
      </w:r>
    </w:p>
    <w:p>
      <w:pPr>
        <w:tabs>
          <w:tab w:val="left" w:pos="600"/>
          <w:tab w:val="left" w:pos="4440"/>
        </w:tabs>
        <w:spacing w:line="360" w:lineRule="auto"/>
        <w:rPr>
          <w:rFonts w:hAnsi="宋体"/>
          <w:bCs/>
        </w:rPr>
      </w:pPr>
      <w:r>
        <w:rPr>
          <w:rFonts w:hint="eastAsia" w:hAnsi="宋体"/>
          <w:bCs/>
        </w:rPr>
        <w:t>5.7  买方对产品的一切检验的验收并不能解除卖方质量问题上的责任，如产品质量不能满足本技术协议和有关国家，国际的标准和规范，其责任由卖方承担。</w:t>
      </w:r>
    </w:p>
    <w:p>
      <w:pPr>
        <w:tabs>
          <w:tab w:val="left" w:pos="600"/>
          <w:tab w:val="left" w:pos="4440"/>
        </w:tabs>
        <w:spacing w:line="360" w:lineRule="auto"/>
        <w:rPr>
          <w:rFonts w:hAnsi="宋体"/>
          <w:bCs/>
        </w:rPr>
      </w:pPr>
    </w:p>
    <w:p>
      <w:pPr>
        <w:pStyle w:val="2"/>
        <w:numPr>
          <w:ilvl w:val="0"/>
          <w:numId w:val="2"/>
        </w:numPr>
        <w:tabs>
          <w:tab w:val="left" w:pos="525"/>
        </w:tabs>
        <w:adjustRightInd w:val="0"/>
        <w:spacing w:before="0" w:after="0" w:line="400" w:lineRule="atLeast"/>
        <w:textAlignment w:val="baseline"/>
        <w:rPr>
          <w:rFonts w:hAnsi="宋体"/>
          <w:bCs w:val="0"/>
        </w:rPr>
      </w:pPr>
      <w:r>
        <w:rPr>
          <w:rFonts w:hint="eastAsia" w:hAnsi="宋体"/>
        </w:rPr>
        <w:t>技术数据表(由卖方提供)</w:t>
      </w:r>
    </w:p>
    <w:p/>
    <w:p>
      <w:pPr>
        <w:spacing w:line="360" w:lineRule="auto"/>
        <w:ind w:firstLine="422" w:firstLineChars="200"/>
        <w:rPr>
          <w:rFonts w:hAnsi="宋体"/>
        </w:rPr>
      </w:pPr>
      <w:r>
        <w:rPr>
          <w:rFonts w:hint="eastAsia" w:hAnsi="宋体"/>
          <w:b/>
        </w:rPr>
        <w:t>主要数据必须包括</w:t>
      </w:r>
      <w:r>
        <w:rPr>
          <w:rFonts w:hint="eastAsia" w:hAnsi="宋体" w:cs="Arial"/>
        </w:rPr>
        <w:t>：卖方必须提供埋地蒸汽管道外套管防腐材料、防腐结构，内外套管的材质，</w:t>
      </w:r>
      <w:r>
        <w:rPr>
          <w:rFonts w:hint="eastAsia" w:hAnsi="宋体"/>
        </w:rPr>
        <w:t>电火花检漏要求电压值</w:t>
      </w:r>
      <w:r>
        <w:rPr>
          <w:rFonts w:hint="eastAsia" w:hAnsi="宋体" w:cs="Arial"/>
        </w:rPr>
        <w:t>，</w:t>
      </w:r>
      <w:r>
        <w:rPr>
          <w:rFonts w:hint="eastAsia" w:hAnsi="宋体"/>
        </w:rPr>
        <w:t>直埋预制钢管的使用寿命、</w:t>
      </w:r>
      <w:r>
        <w:rPr>
          <w:rFonts w:hint="eastAsia" w:hAnsi="宋体" w:cs="Arial"/>
          <w:b/>
        </w:rPr>
        <w:t>直埋预制钢管中埋地管托硬质隔热层的最高使用温度、导热系数、抗折强度、耐压强度（此数据需与检测报告对应，且必须提供</w:t>
      </w:r>
      <w:r>
        <w:rPr>
          <w:rFonts w:hint="eastAsia" w:hAnsi="宋体"/>
          <w:b/>
          <w:bCs/>
        </w:rPr>
        <w:t>国家级检测机构关于硬质隔热层的检测报告扫描件（需为彩印带红章）</w:t>
      </w:r>
      <w:r>
        <w:rPr>
          <w:rFonts w:hint="eastAsia" w:hAnsi="宋体" w:cs="Arial"/>
          <w:b/>
        </w:rPr>
        <w:t>）</w:t>
      </w:r>
      <w:r>
        <w:rPr>
          <w:rFonts w:hint="eastAsia" w:hAnsi="宋体"/>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50E2"/>
    <w:multiLevelType w:val="multilevel"/>
    <w:tmpl w:val="32A650E2"/>
    <w:lvl w:ilvl="0" w:tentative="0">
      <w:start w:val="4"/>
      <w:numFmt w:val="decimal"/>
      <w:lvlText w:val="%1"/>
      <w:lvlJc w:val="left"/>
      <w:pPr>
        <w:ind w:left="600" w:hanging="600"/>
      </w:pPr>
      <w:rPr>
        <w:rFonts w:hint="default"/>
      </w:rPr>
    </w:lvl>
    <w:lvl w:ilvl="1" w:tentative="0">
      <w:start w:val="3"/>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54B3500C"/>
    <w:multiLevelType w:val="singleLevel"/>
    <w:tmpl w:val="54B3500C"/>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B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样式1"/>
    <w:basedOn w:val="1"/>
    <w:qFormat/>
    <w:uiPriority w:val="0"/>
    <w:pPr>
      <w:spacing w:line="336" w:lineRule="auto"/>
    </w:pPr>
    <w:rPr>
      <w:sz w:val="24"/>
      <w:szCs w:val="20"/>
    </w:rPr>
  </w:style>
  <w:style w:type="paragraph" w:customStyle="1" w:styleId="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2020-11-23T09:03:36Z</dcterms:created>
  <dc:creator>Administrator</dc:creator>
  <cp:lastModifiedBy>Administrator</cp:lastModifiedBy>
  <dcterms:modified xsi:type="dcterms:W3CDTF">2020-11-23T09:05:08Z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